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AAF1" w14:textId="35FD5E0D" w:rsidR="00B4349D" w:rsidRPr="004D5A3F" w:rsidRDefault="00B4349D" w:rsidP="00FE6C5C">
      <w:pPr>
        <w:rPr>
          <w:rFonts w:cs="Arial"/>
          <w:b/>
          <w:szCs w:val="22"/>
        </w:rPr>
      </w:pPr>
    </w:p>
    <w:p w14:paraId="3C87B126" w14:textId="77777777" w:rsidR="00FE6C5C" w:rsidRPr="004D5A3F" w:rsidRDefault="00FE6C5C" w:rsidP="00FE6C5C">
      <w:pPr>
        <w:jc w:val="center"/>
        <w:rPr>
          <w:rFonts w:cs="Arial"/>
          <w:b/>
          <w:szCs w:val="22"/>
        </w:rPr>
      </w:pPr>
    </w:p>
    <w:p w14:paraId="3CA3D13A" w14:textId="77777777" w:rsidR="00FE6C5C" w:rsidRPr="004D5A3F" w:rsidRDefault="00FE6C5C" w:rsidP="00FE6C5C">
      <w:pPr>
        <w:jc w:val="center"/>
        <w:rPr>
          <w:rFonts w:cs="Arial"/>
          <w:b/>
          <w:sz w:val="24"/>
        </w:rPr>
      </w:pPr>
      <w:r w:rsidRPr="004D5A3F">
        <w:rPr>
          <w:rFonts w:cs="Arial"/>
          <w:b/>
          <w:sz w:val="24"/>
        </w:rPr>
        <w:t>Job Description</w:t>
      </w:r>
    </w:p>
    <w:p w14:paraId="739E706A" w14:textId="77777777" w:rsidR="00FE6C5C" w:rsidRPr="004D5A3F" w:rsidRDefault="00FE6C5C" w:rsidP="00FE6C5C">
      <w:pPr>
        <w:rPr>
          <w:rFonts w:cs="Arial"/>
          <w:b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3"/>
        <w:gridCol w:w="5777"/>
      </w:tblGrid>
      <w:tr w:rsidR="004D5A3F" w:rsidRPr="004D5A3F" w14:paraId="28EDAD4B" w14:textId="77777777" w:rsidTr="004B76AE">
        <w:tc>
          <w:tcPr>
            <w:tcW w:w="2943" w:type="dxa"/>
            <w:shd w:val="clear" w:color="auto" w:fill="DAEEF3" w:themeFill="accent5" w:themeFillTint="33"/>
          </w:tcPr>
          <w:p w14:paraId="204B8440" w14:textId="77777777" w:rsidR="00FE6C5C" w:rsidRPr="004D5A3F" w:rsidRDefault="00FE6C5C" w:rsidP="00E60A47">
            <w:pPr>
              <w:rPr>
                <w:rFonts w:cs="Arial"/>
                <w:b/>
                <w:szCs w:val="22"/>
              </w:rPr>
            </w:pPr>
            <w:r w:rsidRPr="004D5A3F">
              <w:rPr>
                <w:rFonts w:cs="Arial"/>
                <w:b/>
                <w:szCs w:val="22"/>
              </w:rPr>
              <w:t>Job title:</w:t>
            </w:r>
          </w:p>
          <w:p w14:paraId="0C1D5AE7" w14:textId="77777777" w:rsidR="00601C3D" w:rsidRPr="004D5A3F" w:rsidRDefault="00601C3D" w:rsidP="00E60A47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777" w:type="dxa"/>
          </w:tcPr>
          <w:p w14:paraId="564BA5CD" w14:textId="21ADC972" w:rsidR="00907AEB" w:rsidRPr="00D7010E" w:rsidRDefault="00907AEB" w:rsidP="00D7010E">
            <w:pPr>
              <w:jc w:val="left"/>
              <w:rPr>
                <w:rFonts w:cs="Arial"/>
                <w:bCs/>
                <w:szCs w:val="22"/>
              </w:rPr>
            </w:pPr>
            <w:r w:rsidRPr="00D7010E">
              <w:rPr>
                <w:rFonts w:cs="Arial"/>
                <w:bCs/>
                <w:szCs w:val="22"/>
              </w:rPr>
              <w:t>Wessex Inspiration Network (WIN)</w:t>
            </w:r>
            <w:r w:rsidR="00993558" w:rsidRPr="00D7010E">
              <w:rPr>
                <w:rFonts w:cs="Arial"/>
                <w:bCs/>
                <w:szCs w:val="22"/>
              </w:rPr>
              <w:t xml:space="preserve"> </w:t>
            </w:r>
            <w:r w:rsidR="00D1124B" w:rsidRPr="00D7010E">
              <w:rPr>
                <w:rFonts w:cs="Arial"/>
                <w:bCs/>
                <w:szCs w:val="22"/>
              </w:rPr>
              <w:t>Higher Education Advisor (HEA)</w:t>
            </w:r>
          </w:p>
          <w:p w14:paraId="19A1B6D8" w14:textId="511E4F09" w:rsidR="00993558" w:rsidRPr="00D7010E" w:rsidRDefault="00993558" w:rsidP="00D7010E">
            <w:pPr>
              <w:jc w:val="left"/>
              <w:rPr>
                <w:rFonts w:cs="Arial"/>
                <w:bCs/>
                <w:szCs w:val="22"/>
              </w:rPr>
            </w:pPr>
            <w:r w:rsidRPr="00D7010E">
              <w:rPr>
                <w:rFonts w:cs="Arial"/>
                <w:bCs/>
                <w:szCs w:val="22"/>
              </w:rPr>
              <w:t>Part time (</w:t>
            </w:r>
            <w:r w:rsidR="0043659F">
              <w:rPr>
                <w:rFonts w:cs="Arial"/>
                <w:bCs/>
                <w:szCs w:val="22"/>
              </w:rPr>
              <w:t>2.5</w:t>
            </w:r>
            <w:r w:rsidRPr="00D7010E">
              <w:rPr>
                <w:rFonts w:cs="Arial"/>
                <w:bCs/>
                <w:szCs w:val="22"/>
              </w:rPr>
              <w:t xml:space="preserve"> days</w:t>
            </w:r>
            <w:r w:rsidR="00A52300">
              <w:rPr>
                <w:rFonts w:cs="Arial"/>
                <w:bCs/>
                <w:szCs w:val="22"/>
              </w:rPr>
              <w:t xml:space="preserve"> per week</w:t>
            </w:r>
            <w:r w:rsidRPr="00D7010E">
              <w:rPr>
                <w:rFonts w:cs="Arial"/>
                <w:bCs/>
                <w:szCs w:val="22"/>
              </w:rPr>
              <w:t>,</w:t>
            </w:r>
            <w:r w:rsidR="00A52300">
              <w:rPr>
                <w:rFonts w:cs="Arial"/>
                <w:bCs/>
                <w:szCs w:val="22"/>
              </w:rPr>
              <w:t xml:space="preserve"> full year,</w:t>
            </w:r>
            <w:r w:rsidRPr="00D7010E">
              <w:rPr>
                <w:rFonts w:cs="Arial"/>
                <w:bCs/>
                <w:szCs w:val="22"/>
              </w:rPr>
              <w:t xml:space="preserve"> 0.</w:t>
            </w:r>
            <w:r w:rsidR="0043659F">
              <w:rPr>
                <w:rFonts w:cs="Arial"/>
                <w:bCs/>
                <w:szCs w:val="22"/>
              </w:rPr>
              <w:t>5</w:t>
            </w:r>
            <w:r w:rsidRPr="00D7010E">
              <w:rPr>
                <w:rFonts w:cs="Arial"/>
                <w:bCs/>
                <w:szCs w:val="22"/>
              </w:rPr>
              <w:t xml:space="preserve"> FTE)</w:t>
            </w:r>
          </w:p>
          <w:p w14:paraId="2F249179" w14:textId="2315F142" w:rsidR="00FE6C5C" w:rsidRPr="00D7010E" w:rsidRDefault="00FE6C5C" w:rsidP="00907AEB">
            <w:pPr>
              <w:rPr>
                <w:rFonts w:cs="Arial"/>
                <w:bCs/>
                <w:szCs w:val="22"/>
              </w:rPr>
            </w:pPr>
          </w:p>
        </w:tc>
      </w:tr>
      <w:tr w:rsidR="004D5A3F" w:rsidRPr="004D5A3F" w14:paraId="0E954466" w14:textId="77777777" w:rsidTr="004B76AE">
        <w:tc>
          <w:tcPr>
            <w:tcW w:w="2943" w:type="dxa"/>
            <w:shd w:val="clear" w:color="auto" w:fill="DAEEF3" w:themeFill="accent5" w:themeFillTint="33"/>
          </w:tcPr>
          <w:p w14:paraId="73AACCCF" w14:textId="77777777" w:rsidR="00FE6C5C" w:rsidRPr="004D5A3F" w:rsidRDefault="00FE6C5C" w:rsidP="00E60A47">
            <w:pPr>
              <w:rPr>
                <w:rFonts w:cs="Arial"/>
                <w:b/>
                <w:szCs w:val="22"/>
              </w:rPr>
            </w:pPr>
            <w:r w:rsidRPr="004D5A3F">
              <w:rPr>
                <w:rFonts w:cs="Arial"/>
                <w:b/>
                <w:szCs w:val="22"/>
              </w:rPr>
              <w:t>Location:</w:t>
            </w:r>
          </w:p>
          <w:p w14:paraId="7A8006E0" w14:textId="77777777" w:rsidR="00601C3D" w:rsidRPr="004D5A3F" w:rsidRDefault="00601C3D" w:rsidP="00E60A47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777" w:type="dxa"/>
          </w:tcPr>
          <w:p w14:paraId="1C94ABF3" w14:textId="6E1541CD" w:rsidR="00FE6C5C" w:rsidRPr="00D7010E" w:rsidRDefault="00A52300" w:rsidP="00E60A47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The post will be based at </w:t>
            </w:r>
            <w:r w:rsidR="0043659F">
              <w:rPr>
                <w:rFonts w:cs="Arial"/>
                <w:bCs/>
                <w:szCs w:val="22"/>
              </w:rPr>
              <w:t>the University of Bath</w:t>
            </w:r>
            <w:r>
              <w:rPr>
                <w:rFonts w:cs="Arial"/>
                <w:bCs/>
                <w:szCs w:val="22"/>
              </w:rPr>
              <w:t>.</w:t>
            </w:r>
          </w:p>
        </w:tc>
      </w:tr>
    </w:tbl>
    <w:p w14:paraId="0F6DBC99" w14:textId="77777777" w:rsidR="00FE6C5C" w:rsidRPr="004D5A3F" w:rsidRDefault="00FE6C5C" w:rsidP="00FE6C5C">
      <w:pPr>
        <w:rPr>
          <w:rFonts w:cs="Arial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4D5A3F" w:rsidRPr="004D5A3F" w14:paraId="48525F0D" w14:textId="77777777" w:rsidTr="004B76AE">
        <w:tc>
          <w:tcPr>
            <w:tcW w:w="8720" w:type="dxa"/>
            <w:shd w:val="clear" w:color="auto" w:fill="DAEEF3" w:themeFill="accent5" w:themeFillTint="33"/>
          </w:tcPr>
          <w:p w14:paraId="7FE8EE41" w14:textId="77777777" w:rsidR="00FE6C5C" w:rsidRPr="004D5A3F" w:rsidRDefault="00FE6C5C" w:rsidP="00E60A47">
            <w:pPr>
              <w:rPr>
                <w:rFonts w:cs="Arial"/>
                <w:b/>
                <w:szCs w:val="22"/>
              </w:rPr>
            </w:pPr>
            <w:r w:rsidRPr="004D5A3F">
              <w:rPr>
                <w:rFonts w:cs="Arial"/>
                <w:b/>
                <w:szCs w:val="22"/>
              </w:rPr>
              <w:t>Job purpose</w:t>
            </w:r>
          </w:p>
          <w:p w14:paraId="2609280E" w14:textId="77777777" w:rsidR="00601C3D" w:rsidRPr="004D5A3F" w:rsidRDefault="00601C3D" w:rsidP="00E60A47">
            <w:pPr>
              <w:rPr>
                <w:rFonts w:cs="Arial"/>
                <w:b/>
                <w:szCs w:val="22"/>
              </w:rPr>
            </w:pPr>
          </w:p>
        </w:tc>
      </w:tr>
      <w:tr w:rsidR="004D5A3F" w:rsidRPr="004D5A3F" w14:paraId="52453ECD" w14:textId="77777777" w:rsidTr="00E60A47">
        <w:tc>
          <w:tcPr>
            <w:tcW w:w="8720" w:type="dxa"/>
          </w:tcPr>
          <w:p w14:paraId="1B1557E2" w14:textId="77777777" w:rsidR="00FE6C5C" w:rsidRPr="004D5A3F" w:rsidRDefault="00FE6C5C" w:rsidP="00E60A47">
            <w:pPr>
              <w:rPr>
                <w:rFonts w:cs="Arial"/>
                <w:i/>
                <w:szCs w:val="22"/>
              </w:rPr>
            </w:pPr>
          </w:p>
          <w:p w14:paraId="6E4A4B7C" w14:textId="7B2465D7" w:rsidR="001E78D9" w:rsidRPr="004D5A3F" w:rsidRDefault="001E78D9" w:rsidP="001E78D9">
            <w:pPr>
              <w:rPr>
                <w:rFonts w:cs="Arial"/>
                <w:szCs w:val="22"/>
              </w:rPr>
            </w:pPr>
            <w:r w:rsidRPr="004D5A3F">
              <w:rPr>
                <w:rFonts w:cs="Arial"/>
                <w:szCs w:val="22"/>
              </w:rPr>
              <w:t>The Wessex Inspiration Network (WIN) is one of the Uni</w:t>
            </w:r>
            <w:r w:rsidR="00D7010E">
              <w:rPr>
                <w:rFonts w:cs="Arial"/>
                <w:szCs w:val="22"/>
              </w:rPr>
              <w:t xml:space="preserve"> </w:t>
            </w:r>
            <w:r w:rsidRPr="004D5A3F">
              <w:rPr>
                <w:rFonts w:cs="Arial"/>
                <w:szCs w:val="22"/>
              </w:rPr>
              <w:t>Connect Consortia being funded by the Office for Students (</w:t>
            </w:r>
            <w:proofErr w:type="spellStart"/>
            <w:r w:rsidRPr="004D5A3F">
              <w:rPr>
                <w:rFonts w:cs="Arial"/>
                <w:szCs w:val="22"/>
              </w:rPr>
              <w:t>OfS</w:t>
            </w:r>
            <w:proofErr w:type="spellEnd"/>
            <w:r w:rsidRPr="004D5A3F">
              <w:rPr>
                <w:rFonts w:cs="Arial"/>
                <w:szCs w:val="22"/>
              </w:rPr>
              <w:t>). Its aim is to increase progression to higher education (HE) in areas</w:t>
            </w:r>
            <w:r w:rsidR="00FB26FB" w:rsidRPr="004D5A3F">
              <w:rPr>
                <w:rFonts w:cs="Arial"/>
                <w:szCs w:val="22"/>
              </w:rPr>
              <w:t>/wards</w:t>
            </w:r>
            <w:r w:rsidRPr="004D5A3F">
              <w:rPr>
                <w:rFonts w:cs="Arial"/>
                <w:szCs w:val="22"/>
              </w:rPr>
              <w:t xml:space="preserve"> where fewer than average numbers of qualified young people continue on to further study. </w:t>
            </w:r>
          </w:p>
          <w:p w14:paraId="2406E45B" w14:textId="77777777" w:rsidR="001E78D9" w:rsidRPr="004D5A3F" w:rsidRDefault="001E78D9" w:rsidP="00313627">
            <w:pPr>
              <w:rPr>
                <w:rFonts w:cs="Arial"/>
                <w:i/>
                <w:szCs w:val="22"/>
              </w:rPr>
            </w:pPr>
          </w:p>
          <w:p w14:paraId="1510FF40" w14:textId="12EC127D" w:rsidR="00C9727C" w:rsidRPr="004D5A3F" w:rsidRDefault="00972402" w:rsidP="001E78D9">
            <w:pPr>
              <w:rPr>
                <w:rFonts w:cs="Arial"/>
                <w:iCs/>
                <w:szCs w:val="22"/>
              </w:rPr>
            </w:pPr>
            <w:r w:rsidRPr="00D7010E">
              <w:rPr>
                <w:rFonts w:cs="Arial"/>
                <w:iCs/>
                <w:szCs w:val="22"/>
              </w:rPr>
              <w:t xml:space="preserve">Based at </w:t>
            </w:r>
            <w:r w:rsidR="00EE43F6">
              <w:rPr>
                <w:rFonts w:cs="Arial"/>
                <w:iCs/>
                <w:szCs w:val="22"/>
              </w:rPr>
              <w:t>the University of Bath</w:t>
            </w:r>
            <w:r w:rsidRPr="00D7010E">
              <w:rPr>
                <w:rFonts w:cs="Arial"/>
                <w:iCs/>
                <w:szCs w:val="22"/>
              </w:rPr>
              <w:t>, t</w:t>
            </w:r>
            <w:r w:rsidR="00907AEB" w:rsidRPr="00D7010E">
              <w:rPr>
                <w:rFonts w:cs="Arial"/>
                <w:iCs/>
                <w:szCs w:val="22"/>
              </w:rPr>
              <w:t xml:space="preserve">he postholder will </w:t>
            </w:r>
            <w:r w:rsidR="001E78D9" w:rsidRPr="00D7010E">
              <w:rPr>
                <w:rFonts w:cs="Arial"/>
                <w:iCs/>
                <w:szCs w:val="22"/>
              </w:rPr>
              <w:t xml:space="preserve">be part of a team of Higher Education Advisors based in schools and colleges across the region. </w:t>
            </w:r>
            <w:r w:rsidR="008F59B5" w:rsidRPr="00D7010E">
              <w:rPr>
                <w:rFonts w:cs="Arial"/>
                <w:iCs/>
                <w:szCs w:val="22"/>
              </w:rPr>
              <w:t xml:space="preserve">The HEAs provide </w:t>
            </w:r>
            <w:r w:rsidR="00346FC5" w:rsidRPr="00D7010E">
              <w:rPr>
                <w:rFonts w:cs="Arial"/>
                <w:iCs/>
                <w:szCs w:val="22"/>
              </w:rPr>
              <w:t xml:space="preserve">essential in school support for students from under-represented backgrounds. </w:t>
            </w:r>
          </w:p>
          <w:p w14:paraId="76C7817E" w14:textId="77777777" w:rsidR="00BA1C88" w:rsidRPr="004D5A3F" w:rsidRDefault="00BA1C88" w:rsidP="001E78D9">
            <w:pPr>
              <w:rPr>
                <w:rFonts w:cs="Arial"/>
                <w:iCs/>
                <w:szCs w:val="22"/>
              </w:rPr>
            </w:pPr>
          </w:p>
          <w:p w14:paraId="42E5D67F" w14:textId="2195143D" w:rsidR="00D63B3D" w:rsidRPr="004D5A3F" w:rsidRDefault="00C9727C" w:rsidP="001E78D9">
            <w:pPr>
              <w:rPr>
                <w:rFonts w:cs="Arial"/>
                <w:iCs/>
                <w:szCs w:val="22"/>
              </w:rPr>
            </w:pPr>
            <w:r w:rsidRPr="004D5A3F">
              <w:rPr>
                <w:rFonts w:cs="Arial"/>
                <w:iCs/>
                <w:szCs w:val="22"/>
              </w:rPr>
              <w:t xml:space="preserve">As the main contact for the WIN in the school you will </w:t>
            </w:r>
            <w:r w:rsidR="00D63B3D" w:rsidRPr="004D5A3F">
              <w:rPr>
                <w:rFonts w:cs="Arial"/>
                <w:iCs/>
                <w:szCs w:val="22"/>
              </w:rPr>
              <w:t xml:space="preserve">coordinate and deliver activity to support students </w:t>
            </w:r>
            <w:r w:rsidR="00F71262">
              <w:rPr>
                <w:rFonts w:cs="Arial"/>
                <w:iCs/>
                <w:szCs w:val="22"/>
              </w:rPr>
              <w:t>in Y1</w:t>
            </w:r>
            <w:r w:rsidR="00E12D59">
              <w:rPr>
                <w:rFonts w:cs="Arial"/>
                <w:iCs/>
                <w:szCs w:val="22"/>
              </w:rPr>
              <w:t>1</w:t>
            </w:r>
            <w:r w:rsidR="00D7010E">
              <w:rPr>
                <w:rFonts w:cs="Arial"/>
                <w:iCs/>
                <w:szCs w:val="22"/>
              </w:rPr>
              <w:t xml:space="preserve"> </w:t>
            </w:r>
            <w:r w:rsidR="00F71262">
              <w:rPr>
                <w:rFonts w:cs="Arial"/>
                <w:iCs/>
                <w:szCs w:val="22"/>
              </w:rPr>
              <w:t xml:space="preserve">-13 </w:t>
            </w:r>
            <w:r w:rsidR="00D63B3D" w:rsidRPr="004D5A3F">
              <w:rPr>
                <w:rFonts w:cs="Arial"/>
                <w:iCs/>
                <w:szCs w:val="22"/>
              </w:rPr>
              <w:t xml:space="preserve">from target areas/wards to </w:t>
            </w:r>
            <w:r w:rsidR="00B47E78" w:rsidRPr="004D5A3F">
              <w:rPr>
                <w:rFonts w:cs="Arial"/>
                <w:iCs/>
                <w:szCs w:val="22"/>
              </w:rPr>
              <w:t>better understand their options and the opportunities higher education could bring to them.</w:t>
            </w:r>
          </w:p>
          <w:p w14:paraId="617EB468" w14:textId="77777777" w:rsidR="00D63B3D" w:rsidRPr="004D5A3F" w:rsidRDefault="00D63B3D" w:rsidP="001E78D9">
            <w:pPr>
              <w:rPr>
                <w:rFonts w:cs="Arial"/>
                <w:iCs/>
                <w:szCs w:val="22"/>
              </w:rPr>
            </w:pPr>
          </w:p>
          <w:p w14:paraId="5ECEE868" w14:textId="2A16BB66" w:rsidR="008F59B5" w:rsidRPr="004D5A3F" w:rsidRDefault="00346FC5" w:rsidP="001E78D9">
            <w:pPr>
              <w:rPr>
                <w:rFonts w:cs="Arial"/>
                <w:iCs/>
                <w:szCs w:val="22"/>
              </w:rPr>
            </w:pPr>
            <w:r w:rsidRPr="00D7010E">
              <w:rPr>
                <w:rFonts w:cs="Arial"/>
                <w:iCs/>
                <w:szCs w:val="22"/>
              </w:rPr>
              <w:t xml:space="preserve">Working 1:1 </w:t>
            </w:r>
            <w:r w:rsidR="00C66F54" w:rsidRPr="00D7010E">
              <w:rPr>
                <w:rFonts w:cs="Arial"/>
                <w:iCs/>
                <w:szCs w:val="22"/>
              </w:rPr>
              <w:t>and/or with groups of target students you will co-</w:t>
            </w:r>
            <w:r w:rsidR="006C5152" w:rsidRPr="00D7010E">
              <w:rPr>
                <w:rFonts w:cs="Arial"/>
                <w:iCs/>
                <w:szCs w:val="22"/>
              </w:rPr>
              <w:t>ordinate</w:t>
            </w:r>
            <w:r w:rsidR="00C66F54" w:rsidRPr="00D7010E">
              <w:rPr>
                <w:rFonts w:cs="Arial"/>
                <w:iCs/>
                <w:szCs w:val="22"/>
              </w:rPr>
              <w:t xml:space="preserve"> and deliver activity to support their </w:t>
            </w:r>
            <w:r w:rsidR="0012108C" w:rsidRPr="00D7010E">
              <w:rPr>
                <w:rFonts w:cs="Arial"/>
                <w:iCs/>
                <w:szCs w:val="22"/>
              </w:rPr>
              <w:t xml:space="preserve">knowledge </w:t>
            </w:r>
            <w:r w:rsidR="006C5152" w:rsidRPr="00D7010E">
              <w:rPr>
                <w:rFonts w:cs="Arial"/>
                <w:iCs/>
                <w:szCs w:val="22"/>
              </w:rPr>
              <w:t>of future</w:t>
            </w:r>
            <w:r w:rsidR="00984EEB" w:rsidRPr="00D7010E">
              <w:rPr>
                <w:rFonts w:cs="Arial"/>
                <w:iCs/>
                <w:szCs w:val="22"/>
              </w:rPr>
              <w:t xml:space="preserve"> education</w:t>
            </w:r>
            <w:r w:rsidR="006C5152" w:rsidRPr="00D7010E">
              <w:rPr>
                <w:rFonts w:cs="Arial"/>
                <w:iCs/>
                <w:szCs w:val="22"/>
              </w:rPr>
              <w:t xml:space="preserve"> options </w:t>
            </w:r>
            <w:r w:rsidR="00984EEB" w:rsidRPr="00D7010E">
              <w:rPr>
                <w:rFonts w:cs="Arial"/>
                <w:iCs/>
                <w:szCs w:val="22"/>
              </w:rPr>
              <w:t>post-18. You will support students to apply to higher education</w:t>
            </w:r>
            <w:r w:rsidR="00A06B69">
              <w:rPr>
                <w:rFonts w:cs="Arial"/>
                <w:iCs/>
                <w:szCs w:val="22"/>
              </w:rPr>
              <w:t>,</w:t>
            </w:r>
            <w:r w:rsidR="00984EEB" w:rsidRPr="00D7010E">
              <w:rPr>
                <w:rFonts w:cs="Arial"/>
                <w:iCs/>
                <w:szCs w:val="22"/>
              </w:rPr>
              <w:t xml:space="preserve"> if </w:t>
            </w:r>
            <w:r w:rsidR="00032389">
              <w:rPr>
                <w:rFonts w:cs="Arial"/>
                <w:iCs/>
                <w:szCs w:val="22"/>
              </w:rPr>
              <w:t>this is the journey that they choose</w:t>
            </w:r>
            <w:r w:rsidR="00A06B69">
              <w:rPr>
                <w:rFonts w:cs="Arial"/>
                <w:iCs/>
                <w:szCs w:val="22"/>
              </w:rPr>
              <w:t>,</w:t>
            </w:r>
            <w:r w:rsidR="00984EEB" w:rsidRPr="00D7010E">
              <w:rPr>
                <w:rFonts w:cs="Arial"/>
                <w:iCs/>
                <w:szCs w:val="22"/>
              </w:rPr>
              <w:t xml:space="preserve"> ensuring they are </w:t>
            </w:r>
            <w:r w:rsidR="009056AB" w:rsidRPr="00D7010E">
              <w:rPr>
                <w:rFonts w:cs="Arial"/>
                <w:iCs/>
                <w:szCs w:val="22"/>
              </w:rPr>
              <w:t xml:space="preserve">informed about their options and </w:t>
            </w:r>
            <w:r w:rsidR="00A06B69">
              <w:rPr>
                <w:rFonts w:cs="Arial"/>
                <w:iCs/>
                <w:szCs w:val="22"/>
              </w:rPr>
              <w:t xml:space="preserve">supporting them to understand the </w:t>
            </w:r>
            <w:r w:rsidR="009056AB" w:rsidRPr="00D7010E">
              <w:rPr>
                <w:rFonts w:cs="Arial"/>
                <w:iCs/>
                <w:szCs w:val="22"/>
              </w:rPr>
              <w:t>application processes.</w:t>
            </w:r>
            <w:r w:rsidR="00B31F41">
              <w:rPr>
                <w:rFonts w:cs="Arial"/>
                <w:iCs/>
                <w:szCs w:val="22"/>
              </w:rPr>
              <w:t xml:space="preserve"> </w:t>
            </w:r>
            <w:r w:rsidR="001E5181">
              <w:rPr>
                <w:rFonts w:cs="Arial"/>
                <w:iCs/>
                <w:szCs w:val="22"/>
              </w:rPr>
              <w:t>Alongside students</w:t>
            </w:r>
            <w:r w:rsidR="00032389">
              <w:rPr>
                <w:rFonts w:cs="Arial"/>
                <w:iCs/>
                <w:szCs w:val="22"/>
              </w:rPr>
              <w:t>,</w:t>
            </w:r>
            <w:r w:rsidR="001E5181">
              <w:rPr>
                <w:rFonts w:cs="Arial"/>
                <w:iCs/>
                <w:szCs w:val="22"/>
              </w:rPr>
              <w:t xml:space="preserve"> </w:t>
            </w:r>
            <w:r w:rsidR="005048A5">
              <w:rPr>
                <w:rFonts w:cs="Arial"/>
                <w:iCs/>
                <w:szCs w:val="22"/>
              </w:rPr>
              <w:t xml:space="preserve">you will support </w:t>
            </w:r>
            <w:r w:rsidR="001A17B8">
              <w:rPr>
                <w:rFonts w:cs="Arial"/>
                <w:iCs/>
                <w:szCs w:val="22"/>
              </w:rPr>
              <w:t>other influencers such as parents and</w:t>
            </w:r>
            <w:r w:rsidR="00032389">
              <w:rPr>
                <w:rFonts w:cs="Arial"/>
                <w:iCs/>
                <w:szCs w:val="22"/>
              </w:rPr>
              <w:t xml:space="preserve"> carers. You will also </w:t>
            </w:r>
            <w:r w:rsidR="00B31F41">
              <w:rPr>
                <w:rFonts w:cs="Arial"/>
                <w:iCs/>
                <w:szCs w:val="22"/>
              </w:rPr>
              <w:t>engag</w:t>
            </w:r>
            <w:r w:rsidR="00032389">
              <w:rPr>
                <w:rFonts w:cs="Arial"/>
                <w:iCs/>
                <w:szCs w:val="22"/>
              </w:rPr>
              <w:t>e</w:t>
            </w:r>
            <w:r w:rsidR="00B31F41">
              <w:rPr>
                <w:rFonts w:cs="Arial"/>
                <w:iCs/>
                <w:szCs w:val="22"/>
              </w:rPr>
              <w:t xml:space="preserve"> with other partners that provide support to the students. </w:t>
            </w:r>
            <w:r w:rsidR="009056AB" w:rsidRPr="00D7010E">
              <w:rPr>
                <w:rFonts w:cs="Arial"/>
                <w:iCs/>
                <w:szCs w:val="22"/>
              </w:rPr>
              <w:t xml:space="preserve"> </w:t>
            </w:r>
          </w:p>
          <w:p w14:paraId="7FA212BC" w14:textId="77777777" w:rsidR="008F59B5" w:rsidRPr="004D5A3F" w:rsidRDefault="008F59B5" w:rsidP="001E78D9">
            <w:pPr>
              <w:rPr>
                <w:rFonts w:cs="Arial"/>
                <w:i/>
                <w:szCs w:val="22"/>
              </w:rPr>
            </w:pPr>
          </w:p>
          <w:p w14:paraId="1CD92AA2" w14:textId="56A25E8C" w:rsidR="00FE6C5C" w:rsidRPr="004D5A3F" w:rsidRDefault="002E395F" w:rsidP="00EE43F6">
            <w:pPr>
              <w:rPr>
                <w:rFonts w:cs="Arial"/>
                <w:i/>
                <w:szCs w:val="22"/>
              </w:rPr>
            </w:pPr>
            <w:r w:rsidRPr="00D7010E">
              <w:rPr>
                <w:rFonts w:cs="Arial"/>
                <w:iCs/>
                <w:szCs w:val="22"/>
              </w:rPr>
              <w:t xml:space="preserve">The postholder will support students at </w:t>
            </w:r>
            <w:r w:rsidR="00EE43F6">
              <w:rPr>
                <w:rFonts w:cs="Arial"/>
                <w:iCs/>
                <w:szCs w:val="22"/>
              </w:rPr>
              <w:t xml:space="preserve">Bath College and </w:t>
            </w:r>
            <w:proofErr w:type="spellStart"/>
            <w:r w:rsidR="00EE43F6">
              <w:rPr>
                <w:rFonts w:cs="Arial"/>
                <w:iCs/>
                <w:szCs w:val="22"/>
              </w:rPr>
              <w:t>Hayesfield</w:t>
            </w:r>
            <w:proofErr w:type="spellEnd"/>
            <w:r w:rsidR="00EE43F6">
              <w:rPr>
                <w:rFonts w:cs="Arial"/>
                <w:iCs/>
                <w:szCs w:val="22"/>
              </w:rPr>
              <w:t xml:space="preserve"> School.</w:t>
            </w:r>
            <w:r w:rsidRPr="00D7010E">
              <w:rPr>
                <w:rFonts w:cs="Arial"/>
                <w:iCs/>
                <w:szCs w:val="22"/>
              </w:rPr>
              <w:t xml:space="preserve"> </w:t>
            </w:r>
          </w:p>
        </w:tc>
      </w:tr>
    </w:tbl>
    <w:p w14:paraId="45870FEB" w14:textId="77777777" w:rsidR="00FE6C5C" w:rsidRPr="004D5A3F" w:rsidRDefault="00FE6C5C" w:rsidP="00FE6C5C">
      <w:pPr>
        <w:rPr>
          <w:rFonts w:cs="Arial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4D5A3F" w:rsidRPr="004D5A3F" w14:paraId="155C1E75" w14:textId="77777777" w:rsidTr="004B76AE">
        <w:tc>
          <w:tcPr>
            <w:tcW w:w="8755" w:type="dxa"/>
            <w:shd w:val="clear" w:color="auto" w:fill="DAEEF3" w:themeFill="accent5" w:themeFillTint="33"/>
          </w:tcPr>
          <w:p w14:paraId="697A9537" w14:textId="77777777" w:rsidR="00FE6C5C" w:rsidRPr="004D5A3F" w:rsidRDefault="00FE6C5C" w:rsidP="00E60A47">
            <w:pPr>
              <w:rPr>
                <w:rFonts w:cs="Arial"/>
                <w:b/>
                <w:szCs w:val="22"/>
              </w:rPr>
            </w:pPr>
            <w:r w:rsidRPr="004D5A3F">
              <w:rPr>
                <w:rFonts w:cs="Arial"/>
                <w:b/>
                <w:szCs w:val="22"/>
              </w:rPr>
              <w:t xml:space="preserve">Source and nature of management provided </w:t>
            </w:r>
          </w:p>
          <w:p w14:paraId="1EBB5FEF" w14:textId="77777777" w:rsidR="00601C3D" w:rsidRPr="004D5A3F" w:rsidRDefault="00601C3D" w:rsidP="00E60A47">
            <w:pPr>
              <w:rPr>
                <w:rFonts w:cs="Arial"/>
                <w:b/>
                <w:szCs w:val="22"/>
              </w:rPr>
            </w:pPr>
          </w:p>
        </w:tc>
      </w:tr>
      <w:tr w:rsidR="00FE6C5C" w:rsidRPr="004D5A3F" w14:paraId="5FAA3494" w14:textId="77777777" w:rsidTr="00E60A47">
        <w:tc>
          <w:tcPr>
            <w:tcW w:w="8755" w:type="dxa"/>
          </w:tcPr>
          <w:p w14:paraId="0A091EB0" w14:textId="77777777" w:rsidR="00FE6C5C" w:rsidRPr="00D7010E" w:rsidRDefault="00FE6C5C" w:rsidP="00E60A47">
            <w:pPr>
              <w:rPr>
                <w:rFonts w:cs="Arial"/>
                <w:i/>
                <w:szCs w:val="22"/>
              </w:rPr>
            </w:pPr>
          </w:p>
          <w:p w14:paraId="1AEAF18C" w14:textId="5C55EAF0" w:rsidR="00FE6C5C" w:rsidRPr="00D7010E" w:rsidRDefault="00A52300" w:rsidP="00E60A47">
            <w:pPr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T</w:t>
            </w:r>
            <w:r w:rsidR="00D30C85" w:rsidRPr="004D5A3F">
              <w:rPr>
                <w:rFonts w:cs="Arial"/>
                <w:iCs/>
                <w:szCs w:val="22"/>
              </w:rPr>
              <w:t>he</w:t>
            </w:r>
            <w:r w:rsidR="00D30C85" w:rsidRPr="00D7010E">
              <w:rPr>
                <w:rFonts w:cs="Arial"/>
                <w:iCs/>
                <w:szCs w:val="22"/>
              </w:rPr>
              <w:t xml:space="preserve"> </w:t>
            </w:r>
            <w:r w:rsidR="00907AEB" w:rsidRPr="00D7010E">
              <w:rPr>
                <w:rFonts w:cs="Arial"/>
                <w:iCs/>
                <w:szCs w:val="22"/>
              </w:rPr>
              <w:t>Wessex Inspiration Network (WIN) Project Manager</w:t>
            </w:r>
          </w:p>
          <w:p w14:paraId="424156C2" w14:textId="77777777" w:rsidR="00FE6C5C" w:rsidRPr="00D7010E" w:rsidRDefault="00FE6C5C" w:rsidP="00E60A47">
            <w:pPr>
              <w:rPr>
                <w:rFonts w:cs="Arial"/>
                <w:i/>
                <w:szCs w:val="22"/>
              </w:rPr>
            </w:pPr>
          </w:p>
        </w:tc>
      </w:tr>
    </w:tbl>
    <w:p w14:paraId="1FB00562" w14:textId="77777777" w:rsidR="00FE6C5C" w:rsidRPr="004D5A3F" w:rsidRDefault="00FE6C5C" w:rsidP="00FE6C5C">
      <w:pPr>
        <w:rPr>
          <w:rFonts w:cs="Arial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4D5A3F" w:rsidRPr="004D5A3F" w14:paraId="47FAB361" w14:textId="77777777" w:rsidTr="004B76AE">
        <w:tc>
          <w:tcPr>
            <w:tcW w:w="8755" w:type="dxa"/>
            <w:shd w:val="clear" w:color="auto" w:fill="DAEEF3" w:themeFill="accent5" w:themeFillTint="33"/>
          </w:tcPr>
          <w:p w14:paraId="3ECB3E7E" w14:textId="77777777" w:rsidR="00FE6C5C" w:rsidRPr="004D5A3F" w:rsidRDefault="00FE6C5C" w:rsidP="00E60A47">
            <w:pPr>
              <w:rPr>
                <w:rFonts w:cs="Arial"/>
                <w:b/>
                <w:szCs w:val="22"/>
              </w:rPr>
            </w:pPr>
            <w:r w:rsidRPr="004D5A3F">
              <w:rPr>
                <w:rFonts w:cs="Arial"/>
                <w:b/>
                <w:szCs w:val="22"/>
              </w:rPr>
              <w:t>Staff management responsibility</w:t>
            </w:r>
          </w:p>
          <w:p w14:paraId="162942F7" w14:textId="77777777" w:rsidR="00601C3D" w:rsidRPr="004D5A3F" w:rsidRDefault="00601C3D" w:rsidP="00E60A47">
            <w:pPr>
              <w:rPr>
                <w:rFonts w:cs="Arial"/>
                <w:b/>
                <w:szCs w:val="22"/>
              </w:rPr>
            </w:pPr>
          </w:p>
        </w:tc>
      </w:tr>
      <w:tr w:rsidR="00FE6C5C" w:rsidRPr="004D5A3F" w14:paraId="3AA97369" w14:textId="77777777" w:rsidTr="00E60A47">
        <w:tc>
          <w:tcPr>
            <w:tcW w:w="8755" w:type="dxa"/>
          </w:tcPr>
          <w:p w14:paraId="77C06C2C" w14:textId="77777777" w:rsidR="00FE6C5C" w:rsidRPr="004D5A3F" w:rsidRDefault="00FE6C5C" w:rsidP="00E60A47">
            <w:pPr>
              <w:rPr>
                <w:rFonts w:cs="Arial"/>
                <w:i/>
                <w:szCs w:val="22"/>
              </w:rPr>
            </w:pPr>
          </w:p>
          <w:p w14:paraId="2C02CF51" w14:textId="77777777" w:rsidR="00FE6C5C" w:rsidRPr="004D5A3F" w:rsidRDefault="00907AEB" w:rsidP="00E60A47">
            <w:pPr>
              <w:rPr>
                <w:rFonts w:cs="Arial"/>
                <w:i/>
                <w:szCs w:val="22"/>
              </w:rPr>
            </w:pPr>
            <w:r w:rsidRPr="004D5A3F">
              <w:rPr>
                <w:rFonts w:cs="Arial"/>
                <w:i/>
                <w:szCs w:val="22"/>
              </w:rPr>
              <w:t>None</w:t>
            </w:r>
          </w:p>
          <w:p w14:paraId="02D82FAB" w14:textId="77777777" w:rsidR="00FE6C5C" w:rsidRPr="004D5A3F" w:rsidRDefault="00FE6C5C" w:rsidP="00E60A47">
            <w:pPr>
              <w:rPr>
                <w:rFonts w:cs="Arial"/>
                <w:i/>
                <w:szCs w:val="22"/>
              </w:rPr>
            </w:pPr>
          </w:p>
        </w:tc>
      </w:tr>
    </w:tbl>
    <w:p w14:paraId="11BD5725" w14:textId="25EBA53F" w:rsidR="00FE6C5C" w:rsidRDefault="00FE6C5C" w:rsidP="00FE6C5C">
      <w:pPr>
        <w:rPr>
          <w:rFonts w:cs="Arial"/>
          <w:szCs w:val="22"/>
        </w:rPr>
      </w:pPr>
    </w:p>
    <w:p w14:paraId="5C2F2792" w14:textId="513DEB79" w:rsidR="004D5A3F" w:rsidRDefault="004D5A3F" w:rsidP="00FE6C5C">
      <w:pPr>
        <w:rPr>
          <w:rFonts w:cs="Arial"/>
          <w:szCs w:val="22"/>
        </w:rPr>
      </w:pPr>
    </w:p>
    <w:p w14:paraId="4F7F70E6" w14:textId="15ADCD67" w:rsidR="008A3CC0" w:rsidRDefault="008A3CC0" w:rsidP="00FE6C5C">
      <w:pPr>
        <w:rPr>
          <w:rFonts w:cs="Arial"/>
          <w:szCs w:val="22"/>
        </w:rPr>
      </w:pPr>
    </w:p>
    <w:p w14:paraId="47ADB119" w14:textId="6D6FED43" w:rsidR="008A3CC0" w:rsidRDefault="008A3CC0" w:rsidP="00FE6C5C">
      <w:pPr>
        <w:rPr>
          <w:rFonts w:cs="Arial"/>
          <w:szCs w:val="22"/>
        </w:rPr>
      </w:pPr>
    </w:p>
    <w:p w14:paraId="79EE13BB" w14:textId="77777777" w:rsidR="008A3CC0" w:rsidRDefault="008A3CC0" w:rsidP="00FE6C5C">
      <w:pPr>
        <w:rPr>
          <w:rFonts w:cs="Arial"/>
          <w:szCs w:val="22"/>
        </w:rPr>
      </w:pPr>
    </w:p>
    <w:p w14:paraId="67CB7F53" w14:textId="04E06FB1" w:rsidR="004D5A3F" w:rsidRDefault="004D5A3F" w:rsidP="00FE6C5C">
      <w:pPr>
        <w:rPr>
          <w:rFonts w:cs="Arial"/>
          <w:szCs w:val="22"/>
        </w:rPr>
      </w:pPr>
    </w:p>
    <w:p w14:paraId="3129994A" w14:textId="77777777" w:rsidR="004D5A3F" w:rsidRPr="004D5A3F" w:rsidRDefault="004D5A3F" w:rsidP="00FE6C5C">
      <w:pPr>
        <w:rPr>
          <w:rFonts w:cs="Arial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4D5A3F" w:rsidRPr="004D5A3F" w14:paraId="50697924" w14:textId="77777777" w:rsidTr="004B76AE">
        <w:tc>
          <w:tcPr>
            <w:tcW w:w="8755" w:type="dxa"/>
            <w:shd w:val="clear" w:color="auto" w:fill="DAEEF3" w:themeFill="accent5" w:themeFillTint="33"/>
          </w:tcPr>
          <w:p w14:paraId="27C4E250" w14:textId="77777777" w:rsidR="00FE6C5C" w:rsidRPr="004D5A3F" w:rsidRDefault="00FE6C5C" w:rsidP="00E60A47">
            <w:pPr>
              <w:rPr>
                <w:rFonts w:cs="Arial"/>
                <w:b/>
                <w:szCs w:val="22"/>
              </w:rPr>
            </w:pPr>
            <w:r w:rsidRPr="004D5A3F">
              <w:rPr>
                <w:rFonts w:cs="Arial"/>
                <w:b/>
                <w:szCs w:val="22"/>
              </w:rPr>
              <w:t xml:space="preserve">Special conditions </w:t>
            </w:r>
          </w:p>
          <w:p w14:paraId="472ACF8F" w14:textId="77777777" w:rsidR="00601C3D" w:rsidRPr="004D5A3F" w:rsidRDefault="00601C3D" w:rsidP="00E60A47">
            <w:pPr>
              <w:rPr>
                <w:rFonts w:cs="Arial"/>
                <w:b/>
                <w:szCs w:val="22"/>
              </w:rPr>
            </w:pPr>
          </w:p>
        </w:tc>
      </w:tr>
      <w:tr w:rsidR="004D5A3F" w:rsidRPr="004D5A3F" w14:paraId="5D40C82F" w14:textId="77777777" w:rsidTr="00E60A47">
        <w:tc>
          <w:tcPr>
            <w:tcW w:w="8755" w:type="dxa"/>
          </w:tcPr>
          <w:p w14:paraId="79592BE6" w14:textId="77777777" w:rsidR="00FE6C5C" w:rsidRPr="004D5A3F" w:rsidRDefault="00FE6C5C" w:rsidP="00E60A47">
            <w:pPr>
              <w:rPr>
                <w:rFonts w:cs="Arial"/>
                <w:i/>
                <w:szCs w:val="22"/>
              </w:rPr>
            </w:pPr>
          </w:p>
          <w:p w14:paraId="6CF5FDE1" w14:textId="77777777" w:rsidR="00907AEB" w:rsidRPr="004D5A3F" w:rsidRDefault="00907AEB" w:rsidP="00907AEB">
            <w:pPr>
              <w:rPr>
                <w:rFonts w:cs="Arial"/>
                <w:i/>
                <w:szCs w:val="22"/>
              </w:rPr>
            </w:pPr>
            <w:r w:rsidRPr="004D5A3F">
              <w:rPr>
                <w:rFonts w:cs="Arial"/>
                <w:i/>
                <w:szCs w:val="22"/>
              </w:rPr>
              <w:t>The post holder will be expected to:</w:t>
            </w:r>
          </w:p>
          <w:p w14:paraId="48F72EE1" w14:textId="77777777" w:rsidR="004541F4" w:rsidRPr="00D7010E" w:rsidRDefault="00907AEB" w:rsidP="00907AEB">
            <w:pPr>
              <w:pStyle w:val="ListParagraph"/>
              <w:widowControl/>
              <w:numPr>
                <w:ilvl w:val="0"/>
                <w:numId w:val="20"/>
              </w:numPr>
              <w:spacing w:after="200" w:line="276" w:lineRule="auto"/>
              <w:jc w:val="left"/>
              <w:rPr>
                <w:i/>
                <w:iCs/>
              </w:rPr>
            </w:pPr>
            <w:r w:rsidRPr="004D5A3F">
              <w:rPr>
                <w:rFonts w:cs="Arial"/>
                <w:i/>
                <w:szCs w:val="22"/>
              </w:rPr>
              <w:lastRenderedPageBreak/>
              <w:t>attend meetings and events outside normal working hours</w:t>
            </w:r>
          </w:p>
          <w:p w14:paraId="302BE983" w14:textId="77777777" w:rsidR="004541F4" w:rsidRPr="00D7010E" w:rsidRDefault="00907AEB" w:rsidP="00907AEB">
            <w:pPr>
              <w:pStyle w:val="ListParagraph"/>
              <w:widowControl/>
              <w:numPr>
                <w:ilvl w:val="0"/>
                <w:numId w:val="20"/>
              </w:numPr>
              <w:spacing w:after="200" w:line="276" w:lineRule="auto"/>
              <w:jc w:val="left"/>
              <w:rPr>
                <w:i/>
                <w:iCs/>
              </w:rPr>
            </w:pPr>
            <w:r w:rsidRPr="004D5A3F">
              <w:rPr>
                <w:rFonts w:cs="Arial"/>
                <w:i/>
                <w:szCs w:val="22"/>
              </w:rPr>
              <w:t>undertake an enhanced level Disclosure and Barring check</w:t>
            </w:r>
          </w:p>
          <w:p w14:paraId="64C4805E" w14:textId="6C410AD0" w:rsidR="006A6E59" w:rsidRPr="00D7010E" w:rsidRDefault="00907AEB" w:rsidP="00907AEB">
            <w:pPr>
              <w:pStyle w:val="ListParagraph"/>
              <w:widowControl/>
              <w:numPr>
                <w:ilvl w:val="0"/>
                <w:numId w:val="20"/>
              </w:numPr>
              <w:spacing w:after="200" w:line="276" w:lineRule="auto"/>
              <w:jc w:val="left"/>
              <w:rPr>
                <w:i/>
                <w:iCs/>
              </w:rPr>
            </w:pPr>
            <w:r w:rsidRPr="004D5A3F">
              <w:rPr>
                <w:rFonts w:cs="Arial"/>
                <w:i/>
                <w:szCs w:val="22"/>
              </w:rPr>
              <w:t xml:space="preserve">be prepared to travel </w:t>
            </w:r>
            <w:r w:rsidRPr="00D7010E">
              <w:rPr>
                <w:rFonts w:cs="Arial"/>
                <w:i/>
                <w:szCs w:val="22"/>
              </w:rPr>
              <w:t>to</w:t>
            </w:r>
            <w:r w:rsidR="006A6E59" w:rsidRPr="00D7010E">
              <w:rPr>
                <w:rFonts w:cs="Arial"/>
                <w:i/>
                <w:szCs w:val="22"/>
              </w:rPr>
              <w:t xml:space="preserve"> different locations throughout </w:t>
            </w:r>
            <w:r w:rsidR="003A298B" w:rsidRPr="00D7010E">
              <w:rPr>
                <w:rFonts w:cs="Arial"/>
                <w:i/>
                <w:szCs w:val="22"/>
              </w:rPr>
              <w:t xml:space="preserve">the </w:t>
            </w:r>
            <w:r w:rsidR="00D37D81" w:rsidRPr="00D7010E">
              <w:rPr>
                <w:rFonts w:cs="Arial"/>
                <w:i/>
                <w:szCs w:val="22"/>
              </w:rPr>
              <w:t xml:space="preserve">WIN target </w:t>
            </w:r>
            <w:r w:rsidR="003A298B" w:rsidRPr="00D7010E">
              <w:rPr>
                <w:rFonts w:cs="Arial"/>
                <w:i/>
                <w:szCs w:val="22"/>
              </w:rPr>
              <w:t>area</w:t>
            </w:r>
            <w:r w:rsidR="00D37D81" w:rsidRPr="00D7010E">
              <w:rPr>
                <w:rFonts w:cs="Arial"/>
                <w:i/>
                <w:szCs w:val="22"/>
              </w:rPr>
              <w:t>s</w:t>
            </w:r>
          </w:p>
          <w:p w14:paraId="550FE13D" w14:textId="37C076C4" w:rsidR="00FE6C5C" w:rsidRPr="00D7010E" w:rsidRDefault="00907AEB" w:rsidP="00601C3D">
            <w:pPr>
              <w:pStyle w:val="ListParagraph"/>
              <w:widowControl/>
              <w:numPr>
                <w:ilvl w:val="0"/>
                <w:numId w:val="20"/>
              </w:numPr>
              <w:spacing w:after="200" w:line="276" w:lineRule="auto"/>
              <w:jc w:val="left"/>
              <w:rPr>
                <w:i/>
                <w:iCs/>
              </w:rPr>
            </w:pPr>
            <w:r w:rsidRPr="004D5A3F">
              <w:rPr>
                <w:rFonts w:cs="Arial"/>
                <w:i/>
                <w:szCs w:val="22"/>
              </w:rPr>
              <w:t>hold a current UK driving licence</w:t>
            </w:r>
          </w:p>
        </w:tc>
      </w:tr>
    </w:tbl>
    <w:p w14:paraId="194CA9EA" w14:textId="49850E1E" w:rsidR="00FE6C5C" w:rsidRPr="004D5A3F" w:rsidRDefault="00FE6C5C" w:rsidP="00FE6C5C">
      <w:pPr>
        <w:rPr>
          <w:rFonts w:cs="Arial"/>
          <w:szCs w:val="22"/>
        </w:rPr>
      </w:pPr>
    </w:p>
    <w:p w14:paraId="107B727D" w14:textId="77777777" w:rsidR="008165E4" w:rsidRPr="004D5A3F" w:rsidRDefault="008165E4" w:rsidP="00FE6C5C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287"/>
      </w:tblGrid>
      <w:tr w:rsidR="004D5A3F" w:rsidRPr="004D5A3F" w14:paraId="3BFE0AA4" w14:textId="77777777" w:rsidTr="00D7010E">
        <w:tc>
          <w:tcPr>
            <w:tcW w:w="8755" w:type="dxa"/>
            <w:gridSpan w:val="2"/>
            <w:shd w:val="clear" w:color="auto" w:fill="DAEEF3" w:themeFill="accent5" w:themeFillTint="33"/>
            <w:vAlign w:val="center"/>
          </w:tcPr>
          <w:p w14:paraId="2D1F2CA2" w14:textId="77777777" w:rsidR="00FE6C5C" w:rsidRPr="004D5A3F" w:rsidRDefault="00FE6C5C" w:rsidP="00D7010E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 w:rsidRPr="004D5A3F">
              <w:rPr>
                <w:rFonts w:cs="Arial"/>
                <w:b/>
                <w:szCs w:val="22"/>
              </w:rPr>
              <w:t xml:space="preserve">Main duties and responsibilities </w:t>
            </w:r>
          </w:p>
          <w:p w14:paraId="2000064A" w14:textId="77777777" w:rsidR="00601C3D" w:rsidRPr="004D5A3F" w:rsidRDefault="00601C3D" w:rsidP="00D7010E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</w:p>
        </w:tc>
      </w:tr>
      <w:tr w:rsidR="004D5A3F" w:rsidRPr="004D5A3F" w14:paraId="08FE2F12" w14:textId="77777777" w:rsidTr="00D7010E">
        <w:tc>
          <w:tcPr>
            <w:tcW w:w="468" w:type="dxa"/>
            <w:vAlign w:val="center"/>
          </w:tcPr>
          <w:p w14:paraId="74665BD7" w14:textId="77777777" w:rsidR="00FE6C5C" w:rsidRPr="00D7010E" w:rsidRDefault="00FE6C5C" w:rsidP="00D7010E">
            <w:pPr>
              <w:spacing w:before="120" w:after="120"/>
              <w:jc w:val="left"/>
              <w:rPr>
                <w:rFonts w:cs="Arial"/>
                <w:bCs/>
                <w:szCs w:val="22"/>
              </w:rPr>
            </w:pPr>
            <w:r w:rsidRPr="00D7010E"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8287" w:type="dxa"/>
            <w:vAlign w:val="center"/>
          </w:tcPr>
          <w:p w14:paraId="15DE375A" w14:textId="6722E66E" w:rsidR="00FE6C5C" w:rsidRPr="00D7010E" w:rsidRDefault="00EE2F1C" w:rsidP="00D7010E">
            <w:pPr>
              <w:spacing w:before="120" w:after="120"/>
              <w:jc w:val="left"/>
              <w:rPr>
                <w:rFonts w:cs="Arial"/>
                <w:bCs/>
                <w:szCs w:val="22"/>
              </w:rPr>
            </w:pPr>
            <w:r w:rsidRPr="004D5A3F">
              <w:rPr>
                <w:rFonts w:cs="Arial"/>
                <w:bCs/>
                <w:szCs w:val="22"/>
              </w:rPr>
              <w:t>Be the main point of contact for the WIN in the school</w:t>
            </w:r>
            <w:r w:rsidR="00A52300">
              <w:rPr>
                <w:rFonts w:cs="Arial"/>
                <w:bCs/>
                <w:szCs w:val="22"/>
              </w:rPr>
              <w:t>s</w:t>
            </w:r>
            <w:r w:rsidRPr="004D5A3F">
              <w:rPr>
                <w:rFonts w:cs="Arial"/>
                <w:bCs/>
                <w:szCs w:val="22"/>
              </w:rPr>
              <w:t>. P</w:t>
            </w:r>
            <w:r w:rsidR="001A2EE2" w:rsidRPr="00D7010E">
              <w:rPr>
                <w:rFonts w:cs="Arial"/>
                <w:bCs/>
                <w:szCs w:val="22"/>
              </w:rPr>
              <w:t>lan, organise and deliver outreach interventions for the WIN in accordance with the aims and objectives of the partnership.</w:t>
            </w:r>
          </w:p>
        </w:tc>
      </w:tr>
      <w:tr w:rsidR="004D5A3F" w:rsidRPr="004D5A3F" w14:paraId="65A2BE00" w14:textId="77777777" w:rsidTr="00D7010E">
        <w:tc>
          <w:tcPr>
            <w:tcW w:w="468" w:type="dxa"/>
            <w:vAlign w:val="center"/>
          </w:tcPr>
          <w:p w14:paraId="1A6081EF" w14:textId="77777777" w:rsidR="00FE6C5C" w:rsidRPr="00D7010E" w:rsidRDefault="00FE6C5C" w:rsidP="00D7010E">
            <w:pPr>
              <w:spacing w:before="120" w:after="120"/>
              <w:jc w:val="left"/>
              <w:rPr>
                <w:rFonts w:cs="Arial"/>
                <w:bCs/>
                <w:szCs w:val="22"/>
              </w:rPr>
            </w:pPr>
            <w:r w:rsidRPr="00D7010E">
              <w:rPr>
                <w:rFonts w:cs="Arial"/>
                <w:bCs/>
                <w:szCs w:val="22"/>
              </w:rPr>
              <w:t>2</w:t>
            </w:r>
          </w:p>
        </w:tc>
        <w:tc>
          <w:tcPr>
            <w:tcW w:w="8287" w:type="dxa"/>
            <w:vAlign w:val="center"/>
          </w:tcPr>
          <w:p w14:paraId="036570BD" w14:textId="1C059D00" w:rsidR="00FE6C5C" w:rsidRPr="00F71262" w:rsidRDefault="001A2EE2" w:rsidP="00D7010E">
            <w:pPr>
              <w:widowControl/>
              <w:spacing w:before="120" w:after="120" w:line="276" w:lineRule="auto"/>
              <w:jc w:val="left"/>
              <w:rPr>
                <w:bCs/>
              </w:rPr>
            </w:pPr>
            <w:r w:rsidRPr="00D7010E">
              <w:rPr>
                <w:rFonts w:cs="Arial"/>
                <w:bCs/>
                <w:szCs w:val="22"/>
              </w:rPr>
              <w:t>Co-ordinate and develop activities and additional support to encourage progression to higher education for students from the identified target wards</w:t>
            </w:r>
            <w:r w:rsidR="00A01CE7" w:rsidRPr="00D7010E">
              <w:rPr>
                <w:rFonts w:cs="Arial"/>
                <w:bCs/>
                <w:szCs w:val="22"/>
              </w:rPr>
              <w:t>. This could for example include (but not limited to)</w:t>
            </w:r>
            <w:r w:rsidR="00C377F9" w:rsidRPr="00D7010E">
              <w:rPr>
                <w:rFonts w:cs="Arial"/>
                <w:bCs/>
                <w:szCs w:val="22"/>
              </w:rPr>
              <w:t xml:space="preserve"> </w:t>
            </w:r>
            <w:r w:rsidR="00C377F9" w:rsidRPr="00D7010E">
              <w:rPr>
                <w:bCs/>
              </w:rPr>
              <w:t>1:1 sessions and group work, information and advice, off site visits to partners and local employers, extra-curricular activities</w:t>
            </w:r>
            <w:r w:rsidR="00F26C25">
              <w:rPr>
                <w:bCs/>
              </w:rPr>
              <w:t>,</w:t>
            </w:r>
            <w:r w:rsidR="00C377F9" w:rsidRPr="00D7010E">
              <w:rPr>
                <w:bCs/>
              </w:rPr>
              <w:t xml:space="preserve"> events for specific target groups, </w:t>
            </w:r>
            <w:r w:rsidR="00F26C25">
              <w:rPr>
                <w:bCs/>
              </w:rPr>
              <w:t>or</w:t>
            </w:r>
            <w:r w:rsidR="00F26C25" w:rsidRPr="00D7010E">
              <w:rPr>
                <w:bCs/>
              </w:rPr>
              <w:t xml:space="preserve"> </w:t>
            </w:r>
            <w:r w:rsidR="00C377F9" w:rsidRPr="00D7010E">
              <w:rPr>
                <w:bCs/>
              </w:rPr>
              <w:t>individual mentoring.</w:t>
            </w:r>
          </w:p>
        </w:tc>
      </w:tr>
      <w:tr w:rsidR="004D5A3F" w:rsidRPr="004D5A3F" w14:paraId="589DE9AF" w14:textId="77777777" w:rsidTr="00D7010E">
        <w:tc>
          <w:tcPr>
            <w:tcW w:w="468" w:type="dxa"/>
            <w:vAlign w:val="center"/>
          </w:tcPr>
          <w:p w14:paraId="5C6BD834" w14:textId="1E64D368" w:rsidR="00FE6C5C" w:rsidRPr="00D7010E" w:rsidRDefault="003132C5" w:rsidP="00D7010E">
            <w:pPr>
              <w:spacing w:before="120" w:after="120"/>
              <w:jc w:val="left"/>
              <w:rPr>
                <w:rFonts w:cs="Arial"/>
                <w:bCs/>
                <w:szCs w:val="22"/>
              </w:rPr>
            </w:pPr>
            <w:r w:rsidRPr="004D5A3F">
              <w:rPr>
                <w:rFonts w:cs="Arial"/>
                <w:bCs/>
                <w:szCs w:val="22"/>
              </w:rPr>
              <w:t>3</w:t>
            </w:r>
          </w:p>
        </w:tc>
        <w:tc>
          <w:tcPr>
            <w:tcW w:w="8287" w:type="dxa"/>
            <w:vAlign w:val="center"/>
          </w:tcPr>
          <w:p w14:paraId="30521936" w14:textId="1D0EFE6C" w:rsidR="00FE6C5C" w:rsidRPr="00D7010E" w:rsidRDefault="002D114E" w:rsidP="00D7010E">
            <w:pPr>
              <w:widowControl/>
              <w:spacing w:before="120" w:after="120" w:line="276" w:lineRule="auto"/>
              <w:jc w:val="left"/>
              <w:rPr>
                <w:bCs/>
              </w:rPr>
            </w:pPr>
            <w:r w:rsidRPr="00D7010E">
              <w:rPr>
                <w:bCs/>
              </w:rPr>
              <w:t xml:space="preserve">Provide accurate and up to date information to </w:t>
            </w:r>
            <w:r w:rsidR="00811513" w:rsidRPr="00D7010E">
              <w:rPr>
                <w:bCs/>
              </w:rPr>
              <w:t>target students</w:t>
            </w:r>
            <w:r w:rsidRPr="00D7010E">
              <w:rPr>
                <w:bCs/>
              </w:rPr>
              <w:t xml:space="preserve"> and their families about the full range of </w:t>
            </w:r>
            <w:r w:rsidR="00EE1421" w:rsidRPr="00D7010E">
              <w:rPr>
                <w:bCs/>
              </w:rPr>
              <w:t xml:space="preserve">education </w:t>
            </w:r>
            <w:r w:rsidRPr="00D7010E">
              <w:rPr>
                <w:bCs/>
              </w:rPr>
              <w:t xml:space="preserve">opportunities </w:t>
            </w:r>
            <w:r w:rsidR="00EE1421" w:rsidRPr="00D7010E">
              <w:rPr>
                <w:bCs/>
              </w:rPr>
              <w:t xml:space="preserve">at post-18 </w:t>
            </w:r>
            <w:r w:rsidRPr="00D7010E">
              <w:rPr>
                <w:bCs/>
              </w:rPr>
              <w:t xml:space="preserve">and </w:t>
            </w:r>
            <w:r w:rsidR="00EE1421" w:rsidRPr="00D7010E">
              <w:rPr>
                <w:bCs/>
              </w:rPr>
              <w:t xml:space="preserve">any </w:t>
            </w:r>
            <w:r w:rsidRPr="00D7010E">
              <w:rPr>
                <w:bCs/>
              </w:rPr>
              <w:t>associated funding options to support positive decision-making</w:t>
            </w:r>
            <w:r w:rsidR="00FB58E2" w:rsidRPr="00D7010E">
              <w:rPr>
                <w:bCs/>
              </w:rPr>
              <w:t>.</w:t>
            </w:r>
          </w:p>
        </w:tc>
      </w:tr>
      <w:tr w:rsidR="004D5A3F" w:rsidRPr="004D5A3F" w14:paraId="62457605" w14:textId="77777777" w:rsidTr="00D7010E">
        <w:tc>
          <w:tcPr>
            <w:tcW w:w="468" w:type="dxa"/>
            <w:vAlign w:val="center"/>
          </w:tcPr>
          <w:p w14:paraId="3D1AB9D6" w14:textId="63432D34" w:rsidR="00FE6C5C" w:rsidRPr="00D7010E" w:rsidRDefault="003132C5" w:rsidP="00D7010E">
            <w:pPr>
              <w:spacing w:before="120" w:after="120"/>
              <w:jc w:val="left"/>
              <w:rPr>
                <w:rFonts w:cs="Arial"/>
                <w:bCs/>
                <w:szCs w:val="22"/>
              </w:rPr>
            </w:pPr>
            <w:r w:rsidRPr="004D5A3F">
              <w:rPr>
                <w:rFonts w:cs="Arial"/>
                <w:bCs/>
                <w:szCs w:val="22"/>
              </w:rPr>
              <w:t>4</w:t>
            </w:r>
          </w:p>
        </w:tc>
        <w:tc>
          <w:tcPr>
            <w:tcW w:w="8287" w:type="dxa"/>
            <w:vAlign w:val="center"/>
          </w:tcPr>
          <w:p w14:paraId="455829B9" w14:textId="45F4E14D" w:rsidR="00FE6C5C" w:rsidRPr="00D7010E" w:rsidRDefault="00FC33BD" w:rsidP="00D7010E">
            <w:pPr>
              <w:widowControl/>
              <w:spacing w:before="120" w:after="120" w:line="276" w:lineRule="auto"/>
              <w:jc w:val="left"/>
              <w:rPr>
                <w:bCs/>
              </w:rPr>
            </w:pPr>
            <w:r w:rsidRPr="00D7010E">
              <w:rPr>
                <w:bCs/>
              </w:rPr>
              <w:t>I</w:t>
            </w:r>
            <w:r w:rsidR="002D114E" w:rsidRPr="00D7010E">
              <w:rPr>
                <w:bCs/>
              </w:rPr>
              <w:t>dentify and facilitate effective ways of engaging parents</w:t>
            </w:r>
            <w:r w:rsidR="00032389">
              <w:rPr>
                <w:bCs/>
              </w:rPr>
              <w:t>/carers</w:t>
            </w:r>
            <w:r w:rsidR="002D114E" w:rsidRPr="00D7010E">
              <w:rPr>
                <w:bCs/>
              </w:rPr>
              <w:t xml:space="preserve"> and support networks to raise their awareness </w:t>
            </w:r>
            <w:r w:rsidR="00C25CEA" w:rsidRPr="00D7010E">
              <w:rPr>
                <w:bCs/>
              </w:rPr>
              <w:t xml:space="preserve">of and knowledge of </w:t>
            </w:r>
            <w:r w:rsidR="002D114E" w:rsidRPr="00D7010E">
              <w:rPr>
                <w:bCs/>
              </w:rPr>
              <w:t>the benefits of higher education.</w:t>
            </w:r>
          </w:p>
        </w:tc>
      </w:tr>
      <w:tr w:rsidR="004D5A3F" w:rsidRPr="004D5A3F" w14:paraId="5896D9E2" w14:textId="77777777" w:rsidTr="00D7010E">
        <w:tc>
          <w:tcPr>
            <w:tcW w:w="468" w:type="dxa"/>
            <w:vAlign w:val="center"/>
          </w:tcPr>
          <w:p w14:paraId="765E4BB1" w14:textId="411E8B23" w:rsidR="00A17035" w:rsidRPr="004D5A3F" w:rsidRDefault="003132C5" w:rsidP="00D7010E">
            <w:pPr>
              <w:spacing w:before="120" w:after="120"/>
              <w:jc w:val="left"/>
              <w:rPr>
                <w:rFonts w:cs="Arial"/>
                <w:bCs/>
                <w:szCs w:val="22"/>
              </w:rPr>
            </w:pPr>
            <w:r w:rsidRPr="004D5A3F">
              <w:rPr>
                <w:rFonts w:cs="Arial"/>
                <w:bCs/>
                <w:szCs w:val="22"/>
              </w:rPr>
              <w:t>5</w:t>
            </w:r>
          </w:p>
        </w:tc>
        <w:tc>
          <w:tcPr>
            <w:tcW w:w="8287" w:type="dxa"/>
            <w:vAlign w:val="center"/>
          </w:tcPr>
          <w:p w14:paraId="1A8AC43B" w14:textId="3EE0F4E9" w:rsidR="00A17035" w:rsidRPr="00D7010E" w:rsidDel="00FC33BD" w:rsidRDefault="009E39B0" w:rsidP="00D7010E">
            <w:pPr>
              <w:widowControl/>
              <w:spacing w:before="120" w:after="120" w:line="276" w:lineRule="auto"/>
              <w:jc w:val="left"/>
              <w:rPr>
                <w:bCs/>
              </w:rPr>
            </w:pPr>
            <w:r>
              <w:rPr>
                <w:bCs/>
              </w:rPr>
              <w:t>Liaise</w:t>
            </w:r>
            <w:r w:rsidR="00030E0E" w:rsidRPr="00D7010E">
              <w:rPr>
                <w:bCs/>
              </w:rPr>
              <w:t xml:space="preserve"> with</w:t>
            </w:r>
            <w:r w:rsidR="00773B77" w:rsidRPr="00D7010E">
              <w:rPr>
                <w:bCs/>
              </w:rPr>
              <w:t xml:space="preserve"> </w:t>
            </w:r>
            <w:r w:rsidR="00A17035" w:rsidRPr="00D7010E">
              <w:rPr>
                <w:bCs/>
              </w:rPr>
              <w:t xml:space="preserve">other relevant partners and agencies </w:t>
            </w:r>
            <w:r>
              <w:rPr>
                <w:bCs/>
              </w:rPr>
              <w:t>to provide</w:t>
            </w:r>
            <w:r w:rsidR="00763377" w:rsidRPr="00D7010E">
              <w:rPr>
                <w:bCs/>
              </w:rPr>
              <w:t xml:space="preserve"> </w:t>
            </w:r>
            <w:r w:rsidR="001D011A" w:rsidRPr="00D7010E">
              <w:rPr>
                <w:bCs/>
              </w:rPr>
              <w:t>opportunities</w:t>
            </w:r>
            <w:r w:rsidR="00763377" w:rsidRPr="00D7010E">
              <w:rPr>
                <w:bCs/>
              </w:rPr>
              <w:t xml:space="preserve"> </w:t>
            </w:r>
            <w:r>
              <w:rPr>
                <w:bCs/>
              </w:rPr>
              <w:t xml:space="preserve">for </w:t>
            </w:r>
            <w:r w:rsidR="00763377" w:rsidRPr="00D7010E">
              <w:rPr>
                <w:bCs/>
              </w:rPr>
              <w:t xml:space="preserve">target students. This could include </w:t>
            </w:r>
            <w:r w:rsidR="00A17035" w:rsidRPr="00D7010E">
              <w:rPr>
                <w:bCs/>
              </w:rPr>
              <w:t xml:space="preserve">schools, colleges, </w:t>
            </w:r>
            <w:r w:rsidR="00A17035" w:rsidRPr="00D7010E">
              <w:rPr>
                <w:rFonts w:cs="Arial"/>
                <w:bCs/>
                <w:szCs w:val="22"/>
              </w:rPr>
              <w:t>youth and community centres etc. in the target ward</w:t>
            </w:r>
            <w:r w:rsidR="00773B77" w:rsidRPr="00D7010E">
              <w:rPr>
                <w:rFonts w:cs="Arial"/>
                <w:bCs/>
                <w:szCs w:val="22"/>
              </w:rPr>
              <w:t>s.</w:t>
            </w:r>
          </w:p>
        </w:tc>
      </w:tr>
      <w:tr w:rsidR="003256C3" w:rsidRPr="004D5A3F" w14:paraId="19C9F38E" w14:textId="77777777" w:rsidTr="00D7010E">
        <w:tc>
          <w:tcPr>
            <w:tcW w:w="468" w:type="dxa"/>
            <w:vAlign w:val="center"/>
          </w:tcPr>
          <w:p w14:paraId="7C8B0C0F" w14:textId="6F4F043E" w:rsidR="00FC33BD" w:rsidRPr="004D5A3F" w:rsidRDefault="003132C5" w:rsidP="00D7010E">
            <w:pPr>
              <w:spacing w:before="120" w:after="120"/>
              <w:jc w:val="left"/>
              <w:rPr>
                <w:rFonts w:cs="Arial"/>
                <w:bCs/>
                <w:szCs w:val="22"/>
              </w:rPr>
            </w:pPr>
            <w:r w:rsidRPr="004D5A3F">
              <w:rPr>
                <w:rFonts w:cs="Arial"/>
                <w:bCs/>
                <w:szCs w:val="22"/>
              </w:rPr>
              <w:t>6</w:t>
            </w:r>
          </w:p>
        </w:tc>
        <w:tc>
          <w:tcPr>
            <w:tcW w:w="8287" w:type="dxa"/>
            <w:vAlign w:val="center"/>
          </w:tcPr>
          <w:p w14:paraId="7D5AA71D" w14:textId="28C6922D" w:rsidR="00FC33BD" w:rsidRPr="00D7010E" w:rsidDel="00FC33BD" w:rsidRDefault="00FC33BD" w:rsidP="00D7010E">
            <w:pPr>
              <w:widowControl/>
              <w:spacing w:before="120" w:after="120" w:line="276" w:lineRule="auto"/>
              <w:jc w:val="left"/>
              <w:rPr>
                <w:bCs/>
              </w:rPr>
            </w:pPr>
            <w:r w:rsidRPr="00D7010E">
              <w:rPr>
                <w:bCs/>
              </w:rPr>
              <w:t>Identify, with support from appropriate functions within each school and college, the students</w:t>
            </w:r>
            <w:r w:rsidR="0051546F" w:rsidRPr="00D7010E">
              <w:rPr>
                <w:bCs/>
              </w:rPr>
              <w:t xml:space="preserve"> who meet the WIN targeting criteria.</w:t>
            </w:r>
          </w:p>
        </w:tc>
      </w:tr>
      <w:tr w:rsidR="004D5A3F" w:rsidRPr="004D5A3F" w14:paraId="1777A724" w14:textId="77777777" w:rsidTr="00D7010E">
        <w:tc>
          <w:tcPr>
            <w:tcW w:w="468" w:type="dxa"/>
            <w:vAlign w:val="center"/>
          </w:tcPr>
          <w:p w14:paraId="42E16D9B" w14:textId="1A300353" w:rsidR="00FE6C5C" w:rsidRPr="00D7010E" w:rsidRDefault="003132C5" w:rsidP="00D7010E">
            <w:pPr>
              <w:spacing w:before="120" w:after="120"/>
              <w:jc w:val="left"/>
              <w:rPr>
                <w:rFonts w:cs="Arial"/>
                <w:bCs/>
                <w:szCs w:val="22"/>
              </w:rPr>
            </w:pPr>
            <w:r w:rsidRPr="004D5A3F">
              <w:rPr>
                <w:rFonts w:cs="Arial"/>
                <w:bCs/>
                <w:szCs w:val="22"/>
              </w:rPr>
              <w:t>7</w:t>
            </w:r>
          </w:p>
        </w:tc>
        <w:tc>
          <w:tcPr>
            <w:tcW w:w="8287" w:type="dxa"/>
            <w:vAlign w:val="center"/>
          </w:tcPr>
          <w:p w14:paraId="5D36B982" w14:textId="3D139BBB" w:rsidR="00FE6C5C" w:rsidRPr="00D7010E" w:rsidRDefault="00FC33BD" w:rsidP="00D7010E">
            <w:pPr>
              <w:widowControl/>
              <w:spacing w:before="120" w:after="120" w:line="276" w:lineRule="auto"/>
              <w:jc w:val="left"/>
              <w:rPr>
                <w:bCs/>
              </w:rPr>
            </w:pPr>
            <w:r w:rsidRPr="00D7010E">
              <w:rPr>
                <w:bCs/>
              </w:rPr>
              <w:t>B</w:t>
            </w:r>
            <w:r w:rsidR="002D114E" w:rsidRPr="00D7010E">
              <w:rPr>
                <w:bCs/>
              </w:rPr>
              <w:t>e responsible for ensuring accurate records of activity are kept</w:t>
            </w:r>
            <w:r w:rsidR="00032389">
              <w:rPr>
                <w:bCs/>
              </w:rPr>
              <w:t xml:space="preserve">, </w:t>
            </w:r>
            <w:r w:rsidR="002D114E" w:rsidRPr="00D7010E">
              <w:rPr>
                <w:bCs/>
              </w:rPr>
              <w:t xml:space="preserve">through the use of WIN </w:t>
            </w:r>
            <w:r w:rsidR="00032389">
              <w:rPr>
                <w:bCs/>
              </w:rPr>
              <w:t xml:space="preserve">monitoring </w:t>
            </w:r>
            <w:r w:rsidR="002D114E" w:rsidRPr="00D7010E">
              <w:rPr>
                <w:bCs/>
              </w:rPr>
              <w:t>systems</w:t>
            </w:r>
            <w:r w:rsidR="0051546F" w:rsidRPr="00D7010E">
              <w:rPr>
                <w:bCs/>
              </w:rPr>
              <w:t>.</w:t>
            </w:r>
          </w:p>
        </w:tc>
      </w:tr>
      <w:tr w:rsidR="003256C3" w:rsidRPr="004D5A3F" w14:paraId="0EDA7922" w14:textId="77777777" w:rsidTr="00D7010E">
        <w:tc>
          <w:tcPr>
            <w:tcW w:w="468" w:type="dxa"/>
            <w:vAlign w:val="center"/>
          </w:tcPr>
          <w:p w14:paraId="75213FBA" w14:textId="777B1FE7" w:rsidR="00FC33BD" w:rsidRPr="004D5A3F" w:rsidRDefault="003132C5" w:rsidP="00D7010E">
            <w:pPr>
              <w:spacing w:before="120" w:after="120"/>
              <w:jc w:val="left"/>
              <w:rPr>
                <w:rFonts w:cs="Arial"/>
                <w:bCs/>
                <w:szCs w:val="22"/>
              </w:rPr>
            </w:pPr>
            <w:r w:rsidRPr="004D5A3F">
              <w:rPr>
                <w:rFonts w:cs="Arial"/>
                <w:bCs/>
                <w:szCs w:val="22"/>
              </w:rPr>
              <w:t>8</w:t>
            </w:r>
          </w:p>
        </w:tc>
        <w:tc>
          <w:tcPr>
            <w:tcW w:w="8287" w:type="dxa"/>
            <w:vAlign w:val="center"/>
          </w:tcPr>
          <w:p w14:paraId="1796CA45" w14:textId="3058B5F9" w:rsidR="00FC33BD" w:rsidRPr="00D7010E" w:rsidRDefault="00FC33BD" w:rsidP="00D7010E">
            <w:pPr>
              <w:widowControl/>
              <w:spacing w:before="120" w:after="120" w:line="276" w:lineRule="auto"/>
              <w:jc w:val="left"/>
              <w:rPr>
                <w:bCs/>
              </w:rPr>
            </w:pPr>
            <w:r w:rsidRPr="00D7010E">
              <w:rPr>
                <w:bCs/>
              </w:rPr>
              <w:t>Work collaboratively, as part of the wider team of Higher Education Advisors in schools and colleges</w:t>
            </w:r>
            <w:r w:rsidR="00C5406D">
              <w:rPr>
                <w:bCs/>
              </w:rPr>
              <w:t>. C</w:t>
            </w:r>
            <w:r w:rsidRPr="00D7010E">
              <w:rPr>
                <w:bCs/>
              </w:rPr>
              <w:t xml:space="preserve">ontribute to the WIN Delivery Group, </w:t>
            </w:r>
            <w:r w:rsidR="00C5406D">
              <w:rPr>
                <w:bCs/>
              </w:rPr>
              <w:t>supporting the development of programmes</w:t>
            </w:r>
            <w:r w:rsidRPr="00D7010E">
              <w:rPr>
                <w:bCs/>
              </w:rPr>
              <w:t>.</w:t>
            </w:r>
            <w:r w:rsidR="003132C5" w:rsidRPr="00D7010E">
              <w:rPr>
                <w:bCs/>
              </w:rPr>
              <w:t xml:space="preserve"> Undertake projects as directed by the WIN Project Manager.</w:t>
            </w:r>
          </w:p>
        </w:tc>
      </w:tr>
      <w:tr w:rsidR="003256C3" w:rsidRPr="004D5A3F" w14:paraId="7FA3F530" w14:textId="77777777" w:rsidTr="00D7010E">
        <w:tc>
          <w:tcPr>
            <w:tcW w:w="8755" w:type="dxa"/>
            <w:gridSpan w:val="2"/>
            <w:vAlign w:val="center"/>
          </w:tcPr>
          <w:p w14:paraId="3B13BF70" w14:textId="6E19FBE1" w:rsidR="00FE6C5C" w:rsidRPr="004D5A3F" w:rsidRDefault="00FE6C5C" w:rsidP="00D7010E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 w:rsidRPr="004D5A3F">
              <w:rPr>
                <w:rFonts w:cs="Arial"/>
                <w:szCs w:val="22"/>
              </w:rPr>
              <w:t>You will from time to time be required to undertake other duties of a similar nature as reasonably required by your line manager.</w:t>
            </w:r>
          </w:p>
        </w:tc>
      </w:tr>
    </w:tbl>
    <w:p w14:paraId="500239E8" w14:textId="77777777" w:rsidR="00FE6C5C" w:rsidRPr="004D5A3F" w:rsidRDefault="00FE6C5C" w:rsidP="00FE6C5C">
      <w:pPr>
        <w:rPr>
          <w:rFonts w:cs="Arial"/>
          <w:szCs w:val="22"/>
        </w:rPr>
      </w:pPr>
    </w:p>
    <w:p w14:paraId="007462B6" w14:textId="77777777" w:rsidR="004B76AE" w:rsidRPr="004D5A3F" w:rsidRDefault="004B76AE">
      <w:pPr>
        <w:widowControl/>
        <w:jc w:val="left"/>
        <w:rPr>
          <w:rFonts w:cs="Arial"/>
          <w:szCs w:val="22"/>
        </w:rPr>
      </w:pPr>
      <w:r w:rsidRPr="004D5A3F">
        <w:rPr>
          <w:rFonts w:cs="Arial"/>
          <w:szCs w:val="22"/>
        </w:rPr>
        <w:br w:type="page"/>
      </w:r>
    </w:p>
    <w:p w14:paraId="4ADEBC79" w14:textId="75E0EB49" w:rsidR="00FE6C5C" w:rsidRPr="004D5A3F" w:rsidRDefault="00FE6C5C" w:rsidP="00FE6C5C">
      <w:pPr>
        <w:rPr>
          <w:rFonts w:cs="Arial"/>
          <w:b/>
          <w:szCs w:val="22"/>
        </w:rPr>
      </w:pPr>
    </w:p>
    <w:p w14:paraId="5DF148E2" w14:textId="77777777" w:rsidR="00FE6C5C" w:rsidRPr="004D5A3F" w:rsidRDefault="00FE6C5C" w:rsidP="00FE6C5C">
      <w:pPr>
        <w:jc w:val="center"/>
        <w:rPr>
          <w:rFonts w:cs="Arial"/>
          <w:b/>
          <w:bCs/>
          <w:sz w:val="24"/>
        </w:rPr>
      </w:pPr>
      <w:r w:rsidRPr="004D5A3F">
        <w:rPr>
          <w:rFonts w:cs="Arial"/>
          <w:b/>
          <w:bCs/>
          <w:sz w:val="24"/>
        </w:rPr>
        <w:t>Person Specification</w:t>
      </w:r>
    </w:p>
    <w:p w14:paraId="06771787" w14:textId="77777777" w:rsidR="00FE6C5C" w:rsidRPr="004D5A3F" w:rsidRDefault="00FE6C5C" w:rsidP="00FE6C5C">
      <w:pPr>
        <w:jc w:val="center"/>
        <w:rPr>
          <w:rFonts w:cs="Arial"/>
          <w:b/>
          <w:bCs/>
          <w:szCs w:val="22"/>
        </w:rPr>
      </w:pPr>
    </w:p>
    <w:tbl>
      <w:tblPr>
        <w:tblpPr w:leftFromText="180" w:rightFromText="180" w:vertAnchor="text" w:horzAnchor="margin" w:tblpY="8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1984"/>
        <w:gridCol w:w="1985"/>
      </w:tblGrid>
      <w:tr w:rsidR="004D5A3F" w:rsidRPr="004D5A3F" w14:paraId="58BBF072" w14:textId="77777777" w:rsidTr="00D7010E">
        <w:tc>
          <w:tcPr>
            <w:tcW w:w="5070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5895" w14:textId="77777777" w:rsidR="00FE6C5C" w:rsidRPr="004D5A3F" w:rsidRDefault="00FE6C5C" w:rsidP="00E60A47">
            <w:pPr>
              <w:rPr>
                <w:rFonts w:cs="Arial"/>
                <w:b/>
                <w:szCs w:val="22"/>
              </w:rPr>
            </w:pPr>
            <w:r w:rsidRPr="004D5A3F">
              <w:rPr>
                <w:rFonts w:cs="Arial"/>
                <w:b/>
                <w:szCs w:val="22"/>
              </w:rPr>
              <w:t>Criteria:  Qualifications and Training</w:t>
            </w:r>
          </w:p>
          <w:p w14:paraId="04290AFF" w14:textId="77777777" w:rsidR="004B76AE" w:rsidRPr="004D5A3F" w:rsidRDefault="004B76AE" w:rsidP="00E60A47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984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9B53" w14:textId="77777777" w:rsidR="00FE6C5C" w:rsidRPr="004D5A3F" w:rsidRDefault="00FE6C5C" w:rsidP="00E60A47">
            <w:pPr>
              <w:jc w:val="center"/>
              <w:rPr>
                <w:rFonts w:cs="Arial"/>
                <w:b/>
                <w:szCs w:val="22"/>
              </w:rPr>
            </w:pPr>
            <w:r w:rsidRPr="004D5A3F">
              <w:rPr>
                <w:rFonts w:cs="Arial"/>
                <w:b/>
                <w:szCs w:val="22"/>
              </w:rPr>
              <w:t>Essential</w:t>
            </w:r>
          </w:p>
        </w:tc>
        <w:tc>
          <w:tcPr>
            <w:tcW w:w="1985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8BF5" w14:textId="77777777" w:rsidR="00FE6C5C" w:rsidRPr="004D5A3F" w:rsidRDefault="00FE6C5C" w:rsidP="00E60A47">
            <w:pPr>
              <w:jc w:val="center"/>
              <w:rPr>
                <w:rFonts w:cs="Arial"/>
                <w:b/>
                <w:szCs w:val="22"/>
              </w:rPr>
            </w:pPr>
            <w:r w:rsidRPr="004D5A3F">
              <w:rPr>
                <w:rFonts w:cs="Arial"/>
                <w:b/>
                <w:szCs w:val="22"/>
              </w:rPr>
              <w:t>Desirable</w:t>
            </w:r>
          </w:p>
        </w:tc>
      </w:tr>
      <w:tr w:rsidR="004D5A3F" w:rsidRPr="004D5A3F" w14:paraId="09FCA670" w14:textId="77777777" w:rsidTr="00D7010E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43954" w14:textId="77777777" w:rsidR="00FE6C5C" w:rsidRPr="00D7010E" w:rsidRDefault="001A2EE2" w:rsidP="00E60A47">
            <w:pPr>
              <w:spacing w:after="120"/>
              <w:rPr>
                <w:rFonts w:cs="Arial"/>
                <w:bCs/>
                <w:szCs w:val="22"/>
              </w:rPr>
            </w:pPr>
            <w:r w:rsidRPr="00D7010E">
              <w:rPr>
                <w:rFonts w:cs="Arial"/>
                <w:bCs/>
                <w:szCs w:val="22"/>
              </w:rPr>
              <w:t>UK degree or equivalent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82547" w14:textId="77777777" w:rsidR="00FE6C5C" w:rsidRPr="004D5A3F" w:rsidRDefault="001A2EE2" w:rsidP="00DF2EDD">
            <w:pPr>
              <w:jc w:val="center"/>
              <w:rPr>
                <w:rFonts w:cs="Arial"/>
                <w:szCs w:val="22"/>
              </w:rPr>
            </w:pPr>
            <w:r w:rsidRPr="004D5A3F">
              <w:rPr>
                <w:rFonts w:cs="Arial"/>
                <w:szCs w:val="22"/>
              </w:rPr>
              <w:t>X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B05DC" w14:textId="77777777" w:rsidR="00FE6C5C" w:rsidRPr="004D5A3F" w:rsidRDefault="00FE6C5C" w:rsidP="00DF2EDD">
            <w:pPr>
              <w:jc w:val="center"/>
              <w:rPr>
                <w:rFonts w:cs="Arial"/>
                <w:szCs w:val="22"/>
              </w:rPr>
            </w:pPr>
          </w:p>
        </w:tc>
      </w:tr>
      <w:tr w:rsidR="004D5A3F" w:rsidRPr="004D5A3F" w14:paraId="33BADDFB" w14:textId="77777777" w:rsidTr="00D7010E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9BE2D" w14:textId="2785049F" w:rsidR="00FE6C5C" w:rsidRPr="00D7010E" w:rsidRDefault="00FB58E2" w:rsidP="00FB58E2">
            <w:pPr>
              <w:widowControl/>
              <w:spacing w:after="200" w:line="276" w:lineRule="auto"/>
              <w:jc w:val="left"/>
              <w:rPr>
                <w:bCs/>
              </w:rPr>
            </w:pPr>
            <w:r w:rsidRPr="00D7010E">
              <w:rPr>
                <w:bCs/>
              </w:rPr>
              <w:t>Qualification or experience in Advice and Guidance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93A0" w14:textId="77777777" w:rsidR="00FE6C5C" w:rsidRPr="004D5A3F" w:rsidRDefault="00FE6C5C" w:rsidP="00DF2ED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1B58" w14:textId="350F1D68" w:rsidR="00FE6C5C" w:rsidRPr="004D5A3F" w:rsidRDefault="00FB58E2" w:rsidP="00DF2EDD">
            <w:pPr>
              <w:jc w:val="center"/>
              <w:rPr>
                <w:rFonts w:cs="Arial"/>
                <w:szCs w:val="22"/>
              </w:rPr>
            </w:pPr>
            <w:r w:rsidRPr="004D5A3F">
              <w:rPr>
                <w:rFonts w:cs="Arial"/>
                <w:szCs w:val="22"/>
              </w:rPr>
              <w:t>X</w:t>
            </w:r>
          </w:p>
        </w:tc>
      </w:tr>
    </w:tbl>
    <w:p w14:paraId="7AC27950" w14:textId="77777777" w:rsidR="00FE6C5C" w:rsidRPr="004D5A3F" w:rsidRDefault="00FE6C5C" w:rsidP="00FE6C5C">
      <w:pPr>
        <w:jc w:val="center"/>
        <w:rPr>
          <w:rFonts w:cs="Arial"/>
          <w:b/>
          <w:bCs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1984"/>
        <w:gridCol w:w="1985"/>
      </w:tblGrid>
      <w:tr w:rsidR="004D5A3F" w:rsidRPr="004D5A3F" w14:paraId="33216A31" w14:textId="77777777" w:rsidTr="00D7010E">
        <w:tc>
          <w:tcPr>
            <w:tcW w:w="5070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E262" w14:textId="77777777" w:rsidR="00FE6C5C" w:rsidRPr="004D5A3F" w:rsidRDefault="00FE6C5C" w:rsidP="00E60A47">
            <w:pPr>
              <w:rPr>
                <w:rFonts w:cs="Arial"/>
                <w:b/>
                <w:szCs w:val="22"/>
              </w:rPr>
            </w:pPr>
            <w:r w:rsidRPr="004D5A3F">
              <w:rPr>
                <w:rFonts w:cs="Arial"/>
                <w:b/>
                <w:szCs w:val="22"/>
              </w:rPr>
              <w:t>Criteria:  Knowledge and Experience</w:t>
            </w:r>
          </w:p>
          <w:p w14:paraId="635D87DD" w14:textId="77777777" w:rsidR="004B76AE" w:rsidRPr="004D5A3F" w:rsidRDefault="004B76AE" w:rsidP="00E60A47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984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22751" w14:textId="77777777" w:rsidR="00FE6C5C" w:rsidRPr="004D5A3F" w:rsidRDefault="00FE6C5C" w:rsidP="00E60A47">
            <w:pPr>
              <w:jc w:val="center"/>
              <w:rPr>
                <w:rFonts w:cs="Arial"/>
                <w:b/>
                <w:szCs w:val="22"/>
              </w:rPr>
            </w:pPr>
            <w:r w:rsidRPr="004D5A3F">
              <w:rPr>
                <w:rFonts w:cs="Arial"/>
                <w:b/>
                <w:szCs w:val="22"/>
              </w:rPr>
              <w:t>Essential</w:t>
            </w:r>
          </w:p>
        </w:tc>
        <w:tc>
          <w:tcPr>
            <w:tcW w:w="1985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B15D6" w14:textId="77777777" w:rsidR="00FE6C5C" w:rsidRPr="004D5A3F" w:rsidRDefault="00FE6C5C" w:rsidP="00E60A47">
            <w:pPr>
              <w:jc w:val="center"/>
              <w:rPr>
                <w:rFonts w:cs="Arial"/>
                <w:b/>
                <w:szCs w:val="22"/>
              </w:rPr>
            </w:pPr>
            <w:r w:rsidRPr="004D5A3F">
              <w:rPr>
                <w:rFonts w:cs="Arial"/>
                <w:b/>
                <w:szCs w:val="22"/>
              </w:rPr>
              <w:t>Desirable</w:t>
            </w:r>
          </w:p>
        </w:tc>
      </w:tr>
      <w:tr w:rsidR="004D5A3F" w:rsidRPr="004D5A3F" w14:paraId="5105E0F9" w14:textId="77777777" w:rsidTr="00D7010E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9D2A" w14:textId="53DC517B" w:rsidR="00FE6C5C" w:rsidRPr="00D7010E" w:rsidRDefault="001A2EE2" w:rsidP="00E60A47">
            <w:pPr>
              <w:rPr>
                <w:rFonts w:cs="Arial"/>
                <w:bCs/>
                <w:szCs w:val="22"/>
              </w:rPr>
            </w:pPr>
            <w:r w:rsidRPr="00D7010E">
              <w:rPr>
                <w:rFonts w:cs="Arial"/>
                <w:bCs/>
                <w:szCs w:val="22"/>
              </w:rPr>
              <w:t>Recent experience in the coordination and delivery of events for young people in an educational setting</w:t>
            </w:r>
            <w:r w:rsidR="00032389">
              <w:rPr>
                <w:rFonts w:cs="Arial"/>
                <w:bCs/>
                <w:szCs w:val="22"/>
              </w:rPr>
              <w:t>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130C" w14:textId="77777777" w:rsidR="00FE6C5C" w:rsidRPr="004D5A3F" w:rsidRDefault="001A2EE2" w:rsidP="00DF2EDD">
            <w:pPr>
              <w:spacing w:after="120"/>
              <w:jc w:val="center"/>
              <w:rPr>
                <w:rFonts w:cs="Arial"/>
                <w:szCs w:val="22"/>
              </w:rPr>
            </w:pPr>
            <w:r w:rsidRPr="004D5A3F">
              <w:rPr>
                <w:rFonts w:cs="Arial"/>
                <w:szCs w:val="22"/>
              </w:rPr>
              <w:t>X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9570" w14:textId="77777777" w:rsidR="00FE6C5C" w:rsidRPr="004D5A3F" w:rsidRDefault="00FE6C5C" w:rsidP="00DF2EDD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4D5A3F" w:rsidRPr="004D5A3F" w14:paraId="5EAD4806" w14:textId="77777777" w:rsidTr="00D7010E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2E72" w14:textId="56865961" w:rsidR="00A705AA" w:rsidRPr="00D7010E" w:rsidRDefault="00A705AA" w:rsidP="00A705AA">
            <w:pPr>
              <w:widowControl/>
              <w:spacing w:after="200" w:line="276" w:lineRule="auto"/>
              <w:contextualSpacing/>
              <w:jc w:val="left"/>
              <w:rPr>
                <w:rFonts w:eastAsia="Calibri" w:cs="Arial"/>
                <w:bCs/>
                <w:szCs w:val="22"/>
              </w:rPr>
            </w:pPr>
            <w:r w:rsidRPr="00D7010E">
              <w:rPr>
                <w:rFonts w:eastAsia="Calibri" w:cs="Arial"/>
                <w:bCs/>
                <w:szCs w:val="22"/>
              </w:rPr>
              <w:t>Experience of delivering group work and presentations to a wide range of audiences</w:t>
            </w:r>
            <w:r w:rsidR="00032389">
              <w:rPr>
                <w:rFonts w:eastAsia="Calibri" w:cs="Arial"/>
                <w:bCs/>
                <w:szCs w:val="22"/>
              </w:rPr>
              <w:t>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BF2D" w14:textId="51B829AC" w:rsidR="00A705AA" w:rsidRPr="004D5A3F" w:rsidRDefault="003A298B" w:rsidP="00DF2EDD">
            <w:pPr>
              <w:spacing w:after="120"/>
              <w:jc w:val="center"/>
              <w:rPr>
                <w:rFonts w:cs="Arial"/>
                <w:szCs w:val="22"/>
              </w:rPr>
            </w:pPr>
            <w:r w:rsidRPr="004D5A3F">
              <w:rPr>
                <w:rFonts w:cs="Arial"/>
                <w:szCs w:val="22"/>
              </w:rPr>
              <w:t>X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139D" w14:textId="77777777" w:rsidR="00A705AA" w:rsidRPr="004D5A3F" w:rsidRDefault="00A705AA" w:rsidP="00DF2EDD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4D5A3F" w:rsidRPr="004D5A3F" w14:paraId="4992AC67" w14:textId="77777777" w:rsidTr="00D7010E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1E800" w14:textId="51AF8B78" w:rsidR="00A705AA" w:rsidRPr="00D7010E" w:rsidRDefault="00A705AA" w:rsidP="00A705AA">
            <w:pPr>
              <w:widowControl/>
              <w:spacing w:after="200" w:line="276" w:lineRule="auto"/>
              <w:contextualSpacing/>
              <w:jc w:val="left"/>
              <w:rPr>
                <w:rFonts w:eastAsia="Calibri" w:cs="Arial"/>
                <w:bCs/>
                <w:szCs w:val="22"/>
              </w:rPr>
            </w:pPr>
            <w:r w:rsidRPr="00D7010E">
              <w:rPr>
                <w:rFonts w:eastAsia="Calibri" w:cs="Arial"/>
                <w:bCs/>
                <w:szCs w:val="22"/>
              </w:rPr>
              <w:t>Experience of working to specific objectives and targets by planning and implementing own work schedules</w:t>
            </w:r>
            <w:r w:rsidR="003A298B" w:rsidRPr="00D7010E">
              <w:rPr>
                <w:rFonts w:eastAsia="Calibri" w:cs="Arial"/>
                <w:bCs/>
                <w:szCs w:val="22"/>
              </w:rPr>
              <w:t>,</w:t>
            </w:r>
            <w:r w:rsidRPr="00D7010E">
              <w:rPr>
                <w:rFonts w:eastAsia="Calibri" w:cs="Arial"/>
                <w:bCs/>
                <w:szCs w:val="22"/>
              </w:rPr>
              <w:t xml:space="preserve"> without close supervision</w:t>
            </w:r>
            <w:r w:rsidR="00032389">
              <w:rPr>
                <w:rFonts w:eastAsia="Calibri" w:cs="Arial"/>
                <w:bCs/>
                <w:szCs w:val="22"/>
              </w:rPr>
              <w:t>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E0331" w14:textId="026AAE95" w:rsidR="00A705AA" w:rsidRPr="004D5A3F" w:rsidRDefault="003A298B" w:rsidP="00DF2EDD">
            <w:pPr>
              <w:spacing w:after="120"/>
              <w:jc w:val="center"/>
              <w:rPr>
                <w:rFonts w:cs="Arial"/>
                <w:szCs w:val="22"/>
              </w:rPr>
            </w:pPr>
            <w:r w:rsidRPr="004D5A3F">
              <w:rPr>
                <w:rFonts w:cs="Arial"/>
                <w:szCs w:val="22"/>
              </w:rPr>
              <w:t>X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5BAB" w14:textId="77777777" w:rsidR="00A705AA" w:rsidRPr="004D5A3F" w:rsidRDefault="00A705AA" w:rsidP="00DF2EDD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4D5A3F" w:rsidRPr="004D5A3F" w14:paraId="20FEE0EE" w14:textId="77777777" w:rsidTr="00D7010E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90E3" w14:textId="750EBE83" w:rsidR="00FE6C5C" w:rsidRPr="00D7010E" w:rsidRDefault="001A2EE2" w:rsidP="00E60A47">
            <w:pPr>
              <w:rPr>
                <w:rFonts w:cs="Arial"/>
                <w:bCs/>
                <w:szCs w:val="22"/>
              </w:rPr>
            </w:pPr>
            <w:r w:rsidRPr="00D7010E">
              <w:rPr>
                <w:rFonts w:cs="Arial"/>
                <w:bCs/>
                <w:szCs w:val="22"/>
              </w:rPr>
              <w:t xml:space="preserve">Experience and understanding of collaborative working across </w:t>
            </w:r>
            <w:r w:rsidR="00AB23AA" w:rsidRPr="004D5A3F">
              <w:rPr>
                <w:rFonts w:cs="Arial"/>
                <w:bCs/>
                <w:szCs w:val="22"/>
              </w:rPr>
              <w:t>several</w:t>
            </w:r>
            <w:r w:rsidRPr="00D7010E">
              <w:rPr>
                <w:rFonts w:cs="Arial"/>
                <w:bCs/>
                <w:szCs w:val="22"/>
              </w:rPr>
              <w:t xml:space="preserve"> agencies</w:t>
            </w:r>
            <w:r w:rsidR="00032389">
              <w:rPr>
                <w:rFonts w:cs="Arial"/>
                <w:bCs/>
                <w:szCs w:val="22"/>
              </w:rPr>
              <w:t>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4BE8" w14:textId="77777777" w:rsidR="00FE6C5C" w:rsidRPr="004D5A3F" w:rsidRDefault="001A2EE2" w:rsidP="00DF2EDD">
            <w:pPr>
              <w:spacing w:after="120"/>
              <w:jc w:val="center"/>
              <w:rPr>
                <w:rFonts w:cs="Arial"/>
                <w:szCs w:val="22"/>
              </w:rPr>
            </w:pPr>
            <w:r w:rsidRPr="004D5A3F">
              <w:rPr>
                <w:rFonts w:cs="Arial"/>
                <w:szCs w:val="22"/>
              </w:rPr>
              <w:t>X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7A4EC" w14:textId="77777777" w:rsidR="00FE6C5C" w:rsidRPr="004D5A3F" w:rsidRDefault="00FE6C5C" w:rsidP="00DF2EDD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D23F5C" w:rsidRPr="004D5A3F" w14:paraId="39D88CAD" w14:textId="77777777" w:rsidTr="00D23F5C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C71EF" w14:textId="66340773" w:rsidR="00310683" w:rsidRPr="00F71262" w:rsidRDefault="00310683" w:rsidP="00E60A47">
            <w:pPr>
              <w:rPr>
                <w:bCs/>
              </w:rPr>
            </w:pPr>
            <w:r w:rsidRPr="00D7010E">
              <w:rPr>
                <w:bCs/>
              </w:rPr>
              <w:t xml:space="preserve">A working knowledge of school and college structures, educational options post-18 and </w:t>
            </w:r>
            <w:r w:rsidR="00641ADC">
              <w:rPr>
                <w:bCs/>
              </w:rPr>
              <w:t xml:space="preserve">related </w:t>
            </w:r>
            <w:r w:rsidRPr="00D7010E">
              <w:rPr>
                <w:bCs/>
              </w:rPr>
              <w:t>financial support</w:t>
            </w:r>
            <w:r w:rsidR="00032389">
              <w:rPr>
                <w:bCs/>
              </w:rPr>
              <w:t>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B2A5" w14:textId="784248C3" w:rsidR="00310683" w:rsidRPr="004D5A3F" w:rsidRDefault="00310683" w:rsidP="00DF2EDD">
            <w:pPr>
              <w:spacing w:after="120"/>
              <w:jc w:val="center"/>
              <w:rPr>
                <w:rFonts w:cs="Arial"/>
                <w:szCs w:val="22"/>
              </w:rPr>
            </w:pPr>
            <w:r w:rsidRPr="004D5A3F">
              <w:rPr>
                <w:rFonts w:cs="Arial"/>
                <w:szCs w:val="22"/>
              </w:rPr>
              <w:t>X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2F18" w14:textId="77777777" w:rsidR="00310683" w:rsidRPr="004D5A3F" w:rsidRDefault="00310683" w:rsidP="00DF2EDD">
            <w:pPr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4D5A3F" w:rsidRPr="004D5A3F" w14:paraId="68BF330D" w14:textId="77777777" w:rsidTr="00D7010E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D81B5" w14:textId="30346C85" w:rsidR="00030483" w:rsidRPr="004D5A3F" w:rsidRDefault="00030483" w:rsidP="00857027">
            <w:pPr>
              <w:rPr>
                <w:rFonts w:cs="Arial"/>
                <w:bCs/>
                <w:szCs w:val="22"/>
              </w:rPr>
            </w:pPr>
            <w:r w:rsidRPr="004D5A3F">
              <w:rPr>
                <w:rFonts w:cs="Arial"/>
                <w:bCs/>
                <w:szCs w:val="22"/>
              </w:rPr>
              <w:t>Able to demonstrate a sound knowledge of the aims of widening participation and a good understanding of the barriers and difficulties faced by groups who are under-represented in higher education</w:t>
            </w:r>
            <w:r w:rsidR="00032389">
              <w:rPr>
                <w:rFonts w:cs="Arial"/>
                <w:bCs/>
                <w:szCs w:val="22"/>
              </w:rPr>
              <w:t>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5E25C" w14:textId="77777777" w:rsidR="00030483" w:rsidRPr="004D5A3F" w:rsidRDefault="00030483" w:rsidP="00857027">
            <w:pPr>
              <w:jc w:val="center"/>
              <w:rPr>
                <w:rFonts w:cs="Arial"/>
                <w:szCs w:val="22"/>
              </w:rPr>
            </w:pPr>
            <w:r w:rsidRPr="004D5A3F">
              <w:rPr>
                <w:rFonts w:cs="Arial"/>
                <w:szCs w:val="22"/>
              </w:rPr>
              <w:t>X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9A296" w14:textId="77777777" w:rsidR="00030483" w:rsidRPr="004D5A3F" w:rsidRDefault="00030483" w:rsidP="00857027">
            <w:pPr>
              <w:spacing w:after="120"/>
              <w:rPr>
                <w:rFonts w:cs="Arial"/>
                <w:szCs w:val="22"/>
              </w:rPr>
            </w:pPr>
          </w:p>
        </w:tc>
      </w:tr>
      <w:tr w:rsidR="004D5A3F" w:rsidRPr="004D5A3F" w14:paraId="72FF06B7" w14:textId="77777777" w:rsidTr="00D7010E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109F" w14:textId="3AD61C93" w:rsidR="005D3311" w:rsidRPr="00D7010E" w:rsidRDefault="00641ADC" w:rsidP="00D7010E">
            <w:pPr>
              <w:widowControl/>
              <w:spacing w:line="276" w:lineRule="auto"/>
              <w:jc w:val="left"/>
              <w:rPr>
                <w:rFonts w:cs="Arial"/>
                <w:bCs/>
                <w:szCs w:val="22"/>
              </w:rPr>
            </w:pPr>
            <w:r>
              <w:rPr>
                <w:bCs/>
              </w:rPr>
              <w:t>K</w:t>
            </w:r>
            <w:r w:rsidR="005D3311" w:rsidRPr="00D7010E">
              <w:rPr>
                <w:bCs/>
              </w:rPr>
              <w:t>nowledge and understanding of the protection and safeguarding of children and vulnerable adults.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7150" w14:textId="77777777" w:rsidR="005D3311" w:rsidRPr="004D5A3F" w:rsidRDefault="005D3311" w:rsidP="00857027">
            <w:pPr>
              <w:jc w:val="center"/>
              <w:rPr>
                <w:rFonts w:cs="Arial"/>
                <w:szCs w:val="22"/>
              </w:rPr>
            </w:pPr>
            <w:r w:rsidRPr="004D5A3F">
              <w:rPr>
                <w:rFonts w:cs="Arial"/>
                <w:szCs w:val="22"/>
              </w:rPr>
              <w:t>X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E3D3" w14:textId="77777777" w:rsidR="005D3311" w:rsidRPr="004D5A3F" w:rsidRDefault="005D3311" w:rsidP="00857027">
            <w:pPr>
              <w:spacing w:after="120"/>
              <w:rPr>
                <w:rFonts w:cs="Arial"/>
                <w:szCs w:val="22"/>
              </w:rPr>
            </w:pPr>
          </w:p>
        </w:tc>
      </w:tr>
    </w:tbl>
    <w:p w14:paraId="548548CA" w14:textId="77777777" w:rsidR="00FE6C5C" w:rsidRPr="004D5A3F" w:rsidRDefault="00FE6C5C" w:rsidP="00FE6C5C">
      <w:pPr>
        <w:rPr>
          <w:rFonts w:cs="Arial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1984"/>
        <w:gridCol w:w="1985"/>
      </w:tblGrid>
      <w:tr w:rsidR="004D5A3F" w:rsidRPr="004D5A3F" w14:paraId="4F571F2C" w14:textId="77777777" w:rsidTr="00D7010E">
        <w:tc>
          <w:tcPr>
            <w:tcW w:w="5070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5AB5" w14:textId="77777777" w:rsidR="00FE6C5C" w:rsidRPr="004D5A3F" w:rsidRDefault="00FE6C5C" w:rsidP="00E60A47">
            <w:pPr>
              <w:rPr>
                <w:rFonts w:cs="Arial"/>
                <w:b/>
                <w:szCs w:val="22"/>
              </w:rPr>
            </w:pPr>
            <w:r w:rsidRPr="004D5A3F">
              <w:rPr>
                <w:rFonts w:cs="Arial"/>
                <w:b/>
                <w:szCs w:val="22"/>
              </w:rPr>
              <w:t>Criteria: Skills and Aptitudes</w:t>
            </w:r>
          </w:p>
          <w:p w14:paraId="5E1285C1" w14:textId="77777777" w:rsidR="004B76AE" w:rsidRPr="004D5A3F" w:rsidRDefault="004B76AE" w:rsidP="00E60A47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984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1934" w14:textId="77777777" w:rsidR="00FE6C5C" w:rsidRPr="004D5A3F" w:rsidRDefault="00FE6C5C" w:rsidP="00E60A47">
            <w:pPr>
              <w:jc w:val="center"/>
              <w:rPr>
                <w:rFonts w:cs="Arial"/>
                <w:b/>
                <w:szCs w:val="22"/>
              </w:rPr>
            </w:pPr>
            <w:r w:rsidRPr="004D5A3F">
              <w:rPr>
                <w:rFonts w:cs="Arial"/>
                <w:b/>
                <w:szCs w:val="22"/>
              </w:rPr>
              <w:t>Essential</w:t>
            </w:r>
          </w:p>
        </w:tc>
        <w:tc>
          <w:tcPr>
            <w:tcW w:w="1985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9C6E" w14:textId="77777777" w:rsidR="00FE6C5C" w:rsidRPr="004D5A3F" w:rsidRDefault="00FE6C5C" w:rsidP="00E60A47">
            <w:pPr>
              <w:jc w:val="center"/>
              <w:rPr>
                <w:rFonts w:cs="Arial"/>
                <w:b/>
                <w:szCs w:val="22"/>
              </w:rPr>
            </w:pPr>
            <w:r w:rsidRPr="004D5A3F">
              <w:rPr>
                <w:rFonts w:cs="Arial"/>
                <w:b/>
                <w:szCs w:val="22"/>
              </w:rPr>
              <w:t>Desirable</w:t>
            </w:r>
          </w:p>
        </w:tc>
      </w:tr>
      <w:tr w:rsidR="004D5A3F" w:rsidRPr="004D5A3F" w14:paraId="69CC5AE8" w14:textId="77777777" w:rsidTr="00D7010E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B486" w14:textId="1DA64B75" w:rsidR="00FE6C5C" w:rsidRPr="00D7010E" w:rsidRDefault="00BD7034" w:rsidP="00032389">
            <w:pPr>
              <w:rPr>
                <w:rFonts w:cs="Arial"/>
                <w:bCs/>
                <w:szCs w:val="22"/>
              </w:rPr>
            </w:pPr>
            <w:r w:rsidRPr="00D7010E">
              <w:rPr>
                <w:rFonts w:cs="Arial"/>
                <w:bCs/>
                <w:szCs w:val="22"/>
              </w:rPr>
              <w:t>Excellent interpersonal,</w:t>
            </w:r>
            <w:r w:rsidR="00032389">
              <w:rPr>
                <w:rFonts w:cs="Arial"/>
                <w:bCs/>
                <w:szCs w:val="22"/>
              </w:rPr>
              <w:t xml:space="preserve"> </w:t>
            </w:r>
            <w:r w:rsidRPr="00D7010E">
              <w:rPr>
                <w:rFonts w:cs="Arial"/>
                <w:bCs/>
                <w:szCs w:val="22"/>
              </w:rPr>
              <w:t>verbal and written communication skills, including the ability to engage appropriately</w:t>
            </w:r>
            <w:r w:rsidR="00DF2EDD" w:rsidRPr="00D7010E">
              <w:rPr>
                <w:rFonts w:cs="Arial"/>
                <w:bCs/>
                <w:szCs w:val="22"/>
              </w:rPr>
              <w:t xml:space="preserve"> and professionally</w:t>
            </w:r>
            <w:r w:rsidRPr="00D7010E">
              <w:rPr>
                <w:rFonts w:cs="Arial"/>
                <w:bCs/>
                <w:szCs w:val="22"/>
              </w:rPr>
              <w:t xml:space="preserve"> with a wide range of stakeholders </w:t>
            </w:r>
            <w:r w:rsidR="00074642" w:rsidRPr="00D7010E">
              <w:rPr>
                <w:rFonts w:cs="Arial"/>
                <w:bCs/>
                <w:szCs w:val="22"/>
              </w:rPr>
              <w:t>such as</w:t>
            </w:r>
            <w:r w:rsidRPr="00D7010E">
              <w:rPr>
                <w:rFonts w:cs="Arial"/>
                <w:bCs/>
                <w:szCs w:val="22"/>
              </w:rPr>
              <w:t xml:space="preserve"> academic staff in FE colleges and schools</w:t>
            </w:r>
            <w:r w:rsidR="005612B7" w:rsidRPr="004D5A3F">
              <w:rPr>
                <w:rFonts w:cs="Arial"/>
                <w:bCs/>
                <w:szCs w:val="22"/>
              </w:rPr>
              <w:t>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54D8" w14:textId="77777777" w:rsidR="00FE6C5C" w:rsidRPr="004D5A3F" w:rsidRDefault="00BD7034" w:rsidP="00E60A47">
            <w:pPr>
              <w:jc w:val="center"/>
              <w:rPr>
                <w:rFonts w:cs="Arial"/>
                <w:szCs w:val="22"/>
              </w:rPr>
            </w:pPr>
            <w:r w:rsidRPr="004D5A3F">
              <w:rPr>
                <w:rFonts w:cs="Arial"/>
                <w:szCs w:val="22"/>
              </w:rPr>
              <w:t>X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A5FA" w14:textId="77777777" w:rsidR="00FE6C5C" w:rsidRPr="004D5A3F" w:rsidRDefault="00FE6C5C" w:rsidP="00E60A47">
            <w:pPr>
              <w:spacing w:after="120"/>
              <w:rPr>
                <w:rFonts w:cs="Arial"/>
                <w:szCs w:val="22"/>
              </w:rPr>
            </w:pPr>
          </w:p>
        </w:tc>
      </w:tr>
      <w:tr w:rsidR="004D5A3F" w:rsidRPr="004D5A3F" w14:paraId="49DC6C06" w14:textId="77777777" w:rsidTr="00D7010E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8767B" w14:textId="08A1C7E7" w:rsidR="00FE6C5C" w:rsidRPr="00D7010E" w:rsidRDefault="00BD7034" w:rsidP="00E60A47">
            <w:pPr>
              <w:rPr>
                <w:rFonts w:cs="Arial"/>
                <w:bCs/>
                <w:szCs w:val="22"/>
              </w:rPr>
            </w:pPr>
            <w:r w:rsidRPr="00D7010E">
              <w:rPr>
                <w:rFonts w:cs="Arial"/>
                <w:bCs/>
                <w:szCs w:val="22"/>
              </w:rPr>
              <w:t>Excellent organisation skills, including the ability to prioritise tasks, meet deadlines, deliver targets, maintain accurate records of event evaluation and costs and produce monitoring reports</w:t>
            </w:r>
            <w:r w:rsidR="00032389">
              <w:rPr>
                <w:rFonts w:cs="Arial"/>
                <w:bCs/>
                <w:szCs w:val="22"/>
              </w:rPr>
              <w:t>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44B8" w14:textId="77777777" w:rsidR="00FE6C5C" w:rsidRPr="004D5A3F" w:rsidRDefault="00BD7034" w:rsidP="00E60A47">
            <w:pPr>
              <w:jc w:val="center"/>
              <w:rPr>
                <w:rFonts w:cs="Arial"/>
                <w:szCs w:val="22"/>
              </w:rPr>
            </w:pPr>
            <w:r w:rsidRPr="004D5A3F">
              <w:rPr>
                <w:rFonts w:cs="Arial"/>
                <w:szCs w:val="22"/>
              </w:rPr>
              <w:t>X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203B" w14:textId="77777777" w:rsidR="00FE6C5C" w:rsidRPr="004D5A3F" w:rsidRDefault="00FE6C5C" w:rsidP="00E60A47">
            <w:pPr>
              <w:spacing w:after="120"/>
              <w:rPr>
                <w:rFonts w:cs="Arial"/>
                <w:szCs w:val="22"/>
              </w:rPr>
            </w:pPr>
          </w:p>
        </w:tc>
      </w:tr>
      <w:tr w:rsidR="004D5A3F" w:rsidRPr="004D5A3F" w14:paraId="2BF22994" w14:textId="77777777" w:rsidTr="00D7010E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8EDEF" w14:textId="18AEE55C" w:rsidR="00FE6C5C" w:rsidRPr="00D7010E" w:rsidRDefault="00BD7034" w:rsidP="00BD7034">
            <w:pPr>
              <w:rPr>
                <w:rFonts w:cs="Arial"/>
                <w:bCs/>
                <w:szCs w:val="22"/>
              </w:rPr>
            </w:pPr>
            <w:r w:rsidRPr="00D7010E">
              <w:rPr>
                <w:rFonts w:cs="Arial"/>
                <w:bCs/>
                <w:szCs w:val="22"/>
              </w:rPr>
              <w:t>Able to work both as a team player and independently</w:t>
            </w:r>
            <w:r w:rsidR="00032389">
              <w:rPr>
                <w:rFonts w:cs="Arial"/>
                <w:bCs/>
                <w:szCs w:val="22"/>
              </w:rPr>
              <w:t>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B5CD" w14:textId="77777777" w:rsidR="00FE6C5C" w:rsidRPr="004D5A3F" w:rsidRDefault="00BD7034" w:rsidP="00E60A47">
            <w:pPr>
              <w:jc w:val="center"/>
              <w:rPr>
                <w:rFonts w:cs="Arial"/>
                <w:szCs w:val="22"/>
              </w:rPr>
            </w:pPr>
            <w:r w:rsidRPr="004D5A3F">
              <w:rPr>
                <w:rFonts w:cs="Arial"/>
                <w:szCs w:val="22"/>
              </w:rPr>
              <w:t>X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5A5B" w14:textId="77777777" w:rsidR="00FE6C5C" w:rsidRPr="004D5A3F" w:rsidRDefault="00FE6C5C" w:rsidP="00E60A47">
            <w:pPr>
              <w:spacing w:after="120"/>
              <w:rPr>
                <w:rFonts w:cs="Arial"/>
                <w:szCs w:val="22"/>
              </w:rPr>
            </w:pPr>
          </w:p>
        </w:tc>
      </w:tr>
      <w:tr w:rsidR="004D5A3F" w:rsidRPr="004D5A3F" w14:paraId="096376D7" w14:textId="77777777" w:rsidTr="00D7010E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40A7" w14:textId="2DBF2303" w:rsidR="00074642" w:rsidRPr="00D7010E" w:rsidRDefault="00074642" w:rsidP="00074642">
            <w:pPr>
              <w:widowControl/>
              <w:spacing w:after="200" w:line="276" w:lineRule="auto"/>
              <w:jc w:val="left"/>
              <w:rPr>
                <w:bCs/>
              </w:rPr>
            </w:pPr>
            <w:r w:rsidRPr="00D7010E">
              <w:rPr>
                <w:bCs/>
              </w:rPr>
              <w:t>Able to provide effective mentoring to young people, setting SMART targets to aid progression.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92096" w14:textId="1DDF952C" w:rsidR="00074642" w:rsidRPr="004D5A3F" w:rsidRDefault="00074642" w:rsidP="00E60A47">
            <w:pPr>
              <w:jc w:val="center"/>
              <w:rPr>
                <w:rFonts w:cs="Arial"/>
                <w:szCs w:val="22"/>
              </w:rPr>
            </w:pPr>
            <w:r w:rsidRPr="004D5A3F">
              <w:rPr>
                <w:rFonts w:cs="Arial"/>
                <w:szCs w:val="22"/>
              </w:rPr>
              <w:t>X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CCC4" w14:textId="77777777" w:rsidR="00074642" w:rsidRPr="004D5A3F" w:rsidRDefault="00074642" w:rsidP="00E60A47">
            <w:pPr>
              <w:spacing w:after="120"/>
              <w:rPr>
                <w:rFonts w:cs="Arial"/>
                <w:szCs w:val="22"/>
              </w:rPr>
            </w:pPr>
          </w:p>
        </w:tc>
      </w:tr>
      <w:tr w:rsidR="004D5A3F" w:rsidRPr="004D5A3F" w14:paraId="6B34C3BE" w14:textId="77777777" w:rsidTr="00D7010E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604E" w14:textId="417E955A" w:rsidR="00BD7034" w:rsidRPr="00D7010E" w:rsidRDefault="00BD7034" w:rsidP="00E60A47">
            <w:pPr>
              <w:rPr>
                <w:rFonts w:cs="Arial"/>
                <w:bCs/>
                <w:szCs w:val="22"/>
              </w:rPr>
            </w:pPr>
            <w:r w:rsidRPr="00D7010E">
              <w:rPr>
                <w:rFonts w:cs="Arial"/>
                <w:bCs/>
                <w:szCs w:val="22"/>
              </w:rPr>
              <w:t>A flexible approach to work</w:t>
            </w:r>
            <w:r w:rsidR="00032389">
              <w:rPr>
                <w:rFonts w:cs="Arial"/>
                <w:bCs/>
                <w:szCs w:val="22"/>
              </w:rPr>
              <w:t>,</w:t>
            </w:r>
            <w:r w:rsidRPr="00D7010E">
              <w:rPr>
                <w:rFonts w:cs="Arial"/>
                <w:bCs/>
                <w:szCs w:val="22"/>
              </w:rPr>
              <w:t xml:space="preserve"> with an ethos focusing upon getting the job done.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7782" w14:textId="77777777" w:rsidR="00BD7034" w:rsidRPr="004D5A3F" w:rsidRDefault="00BD7034" w:rsidP="00E60A47">
            <w:pPr>
              <w:jc w:val="center"/>
              <w:rPr>
                <w:rFonts w:cs="Arial"/>
                <w:szCs w:val="22"/>
              </w:rPr>
            </w:pPr>
            <w:r w:rsidRPr="004D5A3F">
              <w:rPr>
                <w:rFonts w:cs="Arial"/>
                <w:szCs w:val="22"/>
              </w:rPr>
              <w:t>X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BB00" w14:textId="77777777" w:rsidR="00BD7034" w:rsidRPr="004D5A3F" w:rsidRDefault="00BD7034" w:rsidP="00E60A47">
            <w:pPr>
              <w:spacing w:after="120"/>
              <w:rPr>
                <w:rFonts w:cs="Arial"/>
                <w:szCs w:val="22"/>
              </w:rPr>
            </w:pPr>
          </w:p>
        </w:tc>
      </w:tr>
    </w:tbl>
    <w:p w14:paraId="094ADCA7" w14:textId="77777777" w:rsidR="00FE6C5C" w:rsidRPr="004D5A3F" w:rsidRDefault="00FE6C5C" w:rsidP="00FE6C5C">
      <w:pPr>
        <w:rPr>
          <w:rFonts w:cs="Arial"/>
          <w:szCs w:val="22"/>
        </w:rPr>
      </w:pPr>
    </w:p>
    <w:sectPr w:rsidR="00FE6C5C" w:rsidRPr="004D5A3F" w:rsidSect="00EE0AE1">
      <w:pgSz w:w="11906" w:h="16838"/>
      <w:pgMar w:top="709" w:right="1133" w:bottom="113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CCA98" w14:textId="77777777" w:rsidR="00E518C8" w:rsidRDefault="00E518C8" w:rsidP="00875E76">
      <w:r>
        <w:separator/>
      </w:r>
    </w:p>
  </w:endnote>
  <w:endnote w:type="continuationSeparator" w:id="0">
    <w:p w14:paraId="52D42707" w14:textId="77777777" w:rsidR="00E518C8" w:rsidRDefault="00E518C8" w:rsidP="0087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8B162" w14:textId="77777777" w:rsidR="00E518C8" w:rsidRDefault="00E518C8" w:rsidP="00875E76">
      <w:r>
        <w:separator/>
      </w:r>
    </w:p>
  </w:footnote>
  <w:footnote w:type="continuationSeparator" w:id="0">
    <w:p w14:paraId="6EC6703C" w14:textId="77777777" w:rsidR="00E518C8" w:rsidRDefault="00E518C8" w:rsidP="00875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47A6"/>
    <w:multiLevelType w:val="hybridMultilevel"/>
    <w:tmpl w:val="1EB6A54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F77F4"/>
    <w:multiLevelType w:val="hybridMultilevel"/>
    <w:tmpl w:val="5700F9EC"/>
    <w:lvl w:ilvl="0" w:tplc="3D02ED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B2606"/>
    <w:multiLevelType w:val="hybridMultilevel"/>
    <w:tmpl w:val="5FDCDE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E93FB5"/>
    <w:multiLevelType w:val="hybridMultilevel"/>
    <w:tmpl w:val="D53E6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BA0E25"/>
    <w:multiLevelType w:val="hybridMultilevel"/>
    <w:tmpl w:val="7234C81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8D4356A"/>
    <w:multiLevelType w:val="hybridMultilevel"/>
    <w:tmpl w:val="DA603D10"/>
    <w:lvl w:ilvl="0" w:tplc="08090017">
      <w:start w:val="1"/>
      <w:numFmt w:val="lowerLetter"/>
      <w:lvlText w:val="%1)"/>
      <w:lvlJc w:val="left"/>
      <w:pPr>
        <w:ind w:left="1005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 w15:restartNumberingAfterBreak="0">
    <w:nsid w:val="1AA67EA7"/>
    <w:multiLevelType w:val="hybridMultilevel"/>
    <w:tmpl w:val="07B64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5F91"/>
    <w:multiLevelType w:val="hybridMultilevel"/>
    <w:tmpl w:val="0D14F3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E0ADD"/>
    <w:multiLevelType w:val="hybridMultilevel"/>
    <w:tmpl w:val="A02AFD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A50B35"/>
    <w:multiLevelType w:val="hybridMultilevel"/>
    <w:tmpl w:val="37D8B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A2A33"/>
    <w:multiLevelType w:val="multilevel"/>
    <w:tmpl w:val="465C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55309"/>
    <w:multiLevelType w:val="multilevel"/>
    <w:tmpl w:val="90429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74DEE"/>
    <w:multiLevelType w:val="hybridMultilevel"/>
    <w:tmpl w:val="44642F6E"/>
    <w:lvl w:ilvl="0" w:tplc="CBC4C6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975FA"/>
    <w:multiLevelType w:val="hybridMultilevel"/>
    <w:tmpl w:val="90081046"/>
    <w:lvl w:ilvl="0" w:tplc="8BE657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C884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2E60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C62D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529D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C4F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B2D8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3C38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BE18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F5BB1"/>
    <w:multiLevelType w:val="hybridMultilevel"/>
    <w:tmpl w:val="C2105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815A3"/>
    <w:multiLevelType w:val="hybridMultilevel"/>
    <w:tmpl w:val="27D0C292"/>
    <w:lvl w:ilvl="0" w:tplc="E41CB974">
      <w:start w:val="1"/>
      <w:numFmt w:val="low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547395"/>
    <w:multiLevelType w:val="hybridMultilevel"/>
    <w:tmpl w:val="B556295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7647C"/>
    <w:multiLevelType w:val="hybridMultilevel"/>
    <w:tmpl w:val="8690B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4688F"/>
    <w:multiLevelType w:val="hybridMultilevel"/>
    <w:tmpl w:val="1EB6A54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04586"/>
    <w:multiLevelType w:val="hybridMultilevel"/>
    <w:tmpl w:val="CA165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167219">
    <w:abstractNumId w:val="19"/>
  </w:num>
  <w:num w:numId="2" w16cid:durableId="651445410">
    <w:abstractNumId w:val="4"/>
  </w:num>
  <w:num w:numId="3" w16cid:durableId="94713190">
    <w:abstractNumId w:val="2"/>
  </w:num>
  <w:num w:numId="4" w16cid:durableId="1031760627">
    <w:abstractNumId w:val="6"/>
  </w:num>
  <w:num w:numId="5" w16cid:durableId="1068653453">
    <w:abstractNumId w:val="16"/>
  </w:num>
  <w:num w:numId="6" w16cid:durableId="841746991">
    <w:abstractNumId w:val="11"/>
  </w:num>
  <w:num w:numId="7" w16cid:durableId="150022597">
    <w:abstractNumId w:val="5"/>
  </w:num>
  <w:num w:numId="8" w16cid:durableId="692388421">
    <w:abstractNumId w:val="15"/>
  </w:num>
  <w:num w:numId="9" w16cid:durableId="1845703674">
    <w:abstractNumId w:val="17"/>
  </w:num>
  <w:num w:numId="10" w16cid:durableId="2087338006">
    <w:abstractNumId w:val="14"/>
  </w:num>
  <w:num w:numId="11" w16cid:durableId="1757745556">
    <w:abstractNumId w:val="18"/>
  </w:num>
  <w:num w:numId="12" w16cid:durableId="1355763950">
    <w:abstractNumId w:val="0"/>
  </w:num>
  <w:num w:numId="13" w16cid:durableId="184638575">
    <w:abstractNumId w:val="10"/>
  </w:num>
  <w:num w:numId="14" w16cid:durableId="1029992225">
    <w:abstractNumId w:val="13"/>
  </w:num>
  <w:num w:numId="15" w16cid:durableId="1470980766">
    <w:abstractNumId w:val="7"/>
  </w:num>
  <w:num w:numId="16" w16cid:durableId="757137725">
    <w:abstractNumId w:val="3"/>
  </w:num>
  <w:num w:numId="17" w16cid:durableId="342438839">
    <w:abstractNumId w:val="8"/>
  </w:num>
  <w:num w:numId="18" w16cid:durableId="990602029">
    <w:abstractNumId w:val="9"/>
  </w:num>
  <w:num w:numId="19" w16cid:durableId="3408842">
    <w:abstractNumId w:val="1"/>
  </w:num>
  <w:num w:numId="20" w16cid:durableId="13813265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36"/>
    <w:rsid w:val="00030483"/>
    <w:rsid w:val="00030E0E"/>
    <w:rsid w:val="00032389"/>
    <w:rsid w:val="00057B6E"/>
    <w:rsid w:val="00066391"/>
    <w:rsid w:val="00074642"/>
    <w:rsid w:val="000757A0"/>
    <w:rsid w:val="0009095D"/>
    <w:rsid w:val="000B72B4"/>
    <w:rsid w:val="000C728D"/>
    <w:rsid w:val="000D5A14"/>
    <w:rsid w:val="000D79F8"/>
    <w:rsid w:val="00104848"/>
    <w:rsid w:val="00116677"/>
    <w:rsid w:val="00116F32"/>
    <w:rsid w:val="0012108C"/>
    <w:rsid w:val="00126154"/>
    <w:rsid w:val="00152BB2"/>
    <w:rsid w:val="001563CE"/>
    <w:rsid w:val="001840E0"/>
    <w:rsid w:val="00197EDF"/>
    <w:rsid w:val="001A0602"/>
    <w:rsid w:val="001A17B8"/>
    <w:rsid w:val="001A2EE2"/>
    <w:rsid w:val="001B0FEE"/>
    <w:rsid w:val="001C2BA3"/>
    <w:rsid w:val="001D011A"/>
    <w:rsid w:val="001D46BB"/>
    <w:rsid w:val="001E03BB"/>
    <w:rsid w:val="001E5181"/>
    <w:rsid w:val="001E78D9"/>
    <w:rsid w:val="001F34B1"/>
    <w:rsid w:val="002077B8"/>
    <w:rsid w:val="00220E67"/>
    <w:rsid w:val="00224C3A"/>
    <w:rsid w:val="0023175D"/>
    <w:rsid w:val="0024268E"/>
    <w:rsid w:val="00254E2D"/>
    <w:rsid w:val="00276A5F"/>
    <w:rsid w:val="00277FD0"/>
    <w:rsid w:val="00290179"/>
    <w:rsid w:val="002949C8"/>
    <w:rsid w:val="002A03F6"/>
    <w:rsid w:val="002D114E"/>
    <w:rsid w:val="002E1DEE"/>
    <w:rsid w:val="002E395F"/>
    <w:rsid w:val="00310683"/>
    <w:rsid w:val="003132C5"/>
    <w:rsid w:val="00313627"/>
    <w:rsid w:val="003255B0"/>
    <w:rsid w:val="003256C3"/>
    <w:rsid w:val="00331064"/>
    <w:rsid w:val="00332E88"/>
    <w:rsid w:val="00334E73"/>
    <w:rsid w:val="00337844"/>
    <w:rsid w:val="00346FC5"/>
    <w:rsid w:val="0034775F"/>
    <w:rsid w:val="0035225E"/>
    <w:rsid w:val="00365BD7"/>
    <w:rsid w:val="00387D98"/>
    <w:rsid w:val="00395CB1"/>
    <w:rsid w:val="003A298B"/>
    <w:rsid w:val="003A3D4B"/>
    <w:rsid w:val="003B4CFD"/>
    <w:rsid w:val="003B4D47"/>
    <w:rsid w:val="003F07C8"/>
    <w:rsid w:val="003F615E"/>
    <w:rsid w:val="00415E0C"/>
    <w:rsid w:val="0042494C"/>
    <w:rsid w:val="00426938"/>
    <w:rsid w:val="0043291B"/>
    <w:rsid w:val="0043659F"/>
    <w:rsid w:val="00443914"/>
    <w:rsid w:val="00446095"/>
    <w:rsid w:val="00446B10"/>
    <w:rsid w:val="004541F4"/>
    <w:rsid w:val="004561D6"/>
    <w:rsid w:val="00461596"/>
    <w:rsid w:val="00467358"/>
    <w:rsid w:val="00481E92"/>
    <w:rsid w:val="0048555E"/>
    <w:rsid w:val="00491C3F"/>
    <w:rsid w:val="004A113F"/>
    <w:rsid w:val="004B0035"/>
    <w:rsid w:val="004B44FD"/>
    <w:rsid w:val="004B76AE"/>
    <w:rsid w:val="004D0677"/>
    <w:rsid w:val="004D5A3F"/>
    <w:rsid w:val="004F004B"/>
    <w:rsid w:val="005048A5"/>
    <w:rsid w:val="005112A0"/>
    <w:rsid w:val="00512757"/>
    <w:rsid w:val="0051546F"/>
    <w:rsid w:val="00534A1E"/>
    <w:rsid w:val="005612B7"/>
    <w:rsid w:val="005638EC"/>
    <w:rsid w:val="005657BB"/>
    <w:rsid w:val="0057139C"/>
    <w:rsid w:val="005755D9"/>
    <w:rsid w:val="00577F8E"/>
    <w:rsid w:val="00580E7B"/>
    <w:rsid w:val="0058392F"/>
    <w:rsid w:val="005969EB"/>
    <w:rsid w:val="00596CB5"/>
    <w:rsid w:val="005A2141"/>
    <w:rsid w:val="005C5DBA"/>
    <w:rsid w:val="005D3311"/>
    <w:rsid w:val="005E04D2"/>
    <w:rsid w:val="005F2298"/>
    <w:rsid w:val="00601C3D"/>
    <w:rsid w:val="00601E16"/>
    <w:rsid w:val="006361D6"/>
    <w:rsid w:val="00641ADC"/>
    <w:rsid w:val="006471F4"/>
    <w:rsid w:val="00663B37"/>
    <w:rsid w:val="006642F2"/>
    <w:rsid w:val="006A6E59"/>
    <w:rsid w:val="006B3C54"/>
    <w:rsid w:val="006C3E91"/>
    <w:rsid w:val="006C45C2"/>
    <w:rsid w:val="006C5152"/>
    <w:rsid w:val="006E1643"/>
    <w:rsid w:val="006E5812"/>
    <w:rsid w:val="006E72FD"/>
    <w:rsid w:val="006F6914"/>
    <w:rsid w:val="00707ACB"/>
    <w:rsid w:val="0073415B"/>
    <w:rsid w:val="0073594D"/>
    <w:rsid w:val="00750568"/>
    <w:rsid w:val="00754190"/>
    <w:rsid w:val="00763377"/>
    <w:rsid w:val="007674F2"/>
    <w:rsid w:val="0077175F"/>
    <w:rsid w:val="00771924"/>
    <w:rsid w:val="00773B77"/>
    <w:rsid w:val="00784840"/>
    <w:rsid w:val="00791E19"/>
    <w:rsid w:val="007A0D9A"/>
    <w:rsid w:val="007A4666"/>
    <w:rsid w:val="007A494F"/>
    <w:rsid w:val="007B1207"/>
    <w:rsid w:val="007C6852"/>
    <w:rsid w:val="007C7496"/>
    <w:rsid w:val="007E03DF"/>
    <w:rsid w:val="007E1EB1"/>
    <w:rsid w:val="007E66A2"/>
    <w:rsid w:val="007E7CCA"/>
    <w:rsid w:val="00811513"/>
    <w:rsid w:val="008165E4"/>
    <w:rsid w:val="0083004C"/>
    <w:rsid w:val="00833891"/>
    <w:rsid w:val="00835657"/>
    <w:rsid w:val="00862E61"/>
    <w:rsid w:val="00865EB2"/>
    <w:rsid w:val="0087202F"/>
    <w:rsid w:val="00873AB1"/>
    <w:rsid w:val="00875E76"/>
    <w:rsid w:val="0088140E"/>
    <w:rsid w:val="00892CBD"/>
    <w:rsid w:val="008A25F7"/>
    <w:rsid w:val="008A355E"/>
    <w:rsid w:val="008A3CC0"/>
    <w:rsid w:val="008A7777"/>
    <w:rsid w:val="008D328D"/>
    <w:rsid w:val="008F59B5"/>
    <w:rsid w:val="009056AB"/>
    <w:rsid w:val="00907AEB"/>
    <w:rsid w:val="009201B2"/>
    <w:rsid w:val="00942403"/>
    <w:rsid w:val="009424BD"/>
    <w:rsid w:val="0094516A"/>
    <w:rsid w:val="00946113"/>
    <w:rsid w:val="00946E74"/>
    <w:rsid w:val="00952E01"/>
    <w:rsid w:val="00955C6A"/>
    <w:rsid w:val="009625EB"/>
    <w:rsid w:val="00972402"/>
    <w:rsid w:val="009757FE"/>
    <w:rsid w:val="00976848"/>
    <w:rsid w:val="00984EEB"/>
    <w:rsid w:val="00990A3D"/>
    <w:rsid w:val="00991353"/>
    <w:rsid w:val="009915FA"/>
    <w:rsid w:val="00993558"/>
    <w:rsid w:val="009A1DD8"/>
    <w:rsid w:val="009A7CFD"/>
    <w:rsid w:val="009B6B86"/>
    <w:rsid w:val="009C1B40"/>
    <w:rsid w:val="009C1E66"/>
    <w:rsid w:val="009C2A32"/>
    <w:rsid w:val="009D5C68"/>
    <w:rsid w:val="009E39B0"/>
    <w:rsid w:val="009F1B1F"/>
    <w:rsid w:val="00A01CE7"/>
    <w:rsid w:val="00A047D2"/>
    <w:rsid w:val="00A048FD"/>
    <w:rsid w:val="00A06B69"/>
    <w:rsid w:val="00A17035"/>
    <w:rsid w:val="00A22578"/>
    <w:rsid w:val="00A24302"/>
    <w:rsid w:val="00A260BA"/>
    <w:rsid w:val="00A27FE0"/>
    <w:rsid w:val="00A43AEC"/>
    <w:rsid w:val="00A52300"/>
    <w:rsid w:val="00A56897"/>
    <w:rsid w:val="00A705AA"/>
    <w:rsid w:val="00A8632A"/>
    <w:rsid w:val="00AA70CE"/>
    <w:rsid w:val="00AB0E27"/>
    <w:rsid w:val="00AB23AA"/>
    <w:rsid w:val="00AB78CF"/>
    <w:rsid w:val="00AC6CEC"/>
    <w:rsid w:val="00AE0C4E"/>
    <w:rsid w:val="00AE0F18"/>
    <w:rsid w:val="00AE5617"/>
    <w:rsid w:val="00AF3864"/>
    <w:rsid w:val="00AF3AC0"/>
    <w:rsid w:val="00B137F7"/>
    <w:rsid w:val="00B257D2"/>
    <w:rsid w:val="00B26132"/>
    <w:rsid w:val="00B31F41"/>
    <w:rsid w:val="00B36579"/>
    <w:rsid w:val="00B4349D"/>
    <w:rsid w:val="00B47E78"/>
    <w:rsid w:val="00B645D9"/>
    <w:rsid w:val="00B70B3B"/>
    <w:rsid w:val="00B85064"/>
    <w:rsid w:val="00B922F9"/>
    <w:rsid w:val="00BA1C88"/>
    <w:rsid w:val="00BA73D7"/>
    <w:rsid w:val="00BC25D5"/>
    <w:rsid w:val="00BD0405"/>
    <w:rsid w:val="00BD7034"/>
    <w:rsid w:val="00BF19FD"/>
    <w:rsid w:val="00BF1CE5"/>
    <w:rsid w:val="00C00EDA"/>
    <w:rsid w:val="00C02256"/>
    <w:rsid w:val="00C064DD"/>
    <w:rsid w:val="00C17595"/>
    <w:rsid w:val="00C25CEA"/>
    <w:rsid w:val="00C377F9"/>
    <w:rsid w:val="00C41EFF"/>
    <w:rsid w:val="00C51819"/>
    <w:rsid w:val="00C51C10"/>
    <w:rsid w:val="00C5406D"/>
    <w:rsid w:val="00C66F54"/>
    <w:rsid w:val="00C703BB"/>
    <w:rsid w:val="00C72179"/>
    <w:rsid w:val="00C9727C"/>
    <w:rsid w:val="00CC69EA"/>
    <w:rsid w:val="00CD462D"/>
    <w:rsid w:val="00CD4E51"/>
    <w:rsid w:val="00CE03A9"/>
    <w:rsid w:val="00D041F7"/>
    <w:rsid w:val="00D0594F"/>
    <w:rsid w:val="00D1124B"/>
    <w:rsid w:val="00D1323F"/>
    <w:rsid w:val="00D132BC"/>
    <w:rsid w:val="00D16471"/>
    <w:rsid w:val="00D1783C"/>
    <w:rsid w:val="00D23F5C"/>
    <w:rsid w:val="00D24411"/>
    <w:rsid w:val="00D27683"/>
    <w:rsid w:val="00D30C85"/>
    <w:rsid w:val="00D31A73"/>
    <w:rsid w:val="00D3467B"/>
    <w:rsid w:val="00D35787"/>
    <w:rsid w:val="00D37D81"/>
    <w:rsid w:val="00D41E1E"/>
    <w:rsid w:val="00D60682"/>
    <w:rsid w:val="00D63B3D"/>
    <w:rsid w:val="00D7010E"/>
    <w:rsid w:val="00D94705"/>
    <w:rsid w:val="00DA0FF3"/>
    <w:rsid w:val="00DA2707"/>
    <w:rsid w:val="00DC2705"/>
    <w:rsid w:val="00DD0374"/>
    <w:rsid w:val="00DF0960"/>
    <w:rsid w:val="00DF2EDD"/>
    <w:rsid w:val="00E01862"/>
    <w:rsid w:val="00E02257"/>
    <w:rsid w:val="00E12D59"/>
    <w:rsid w:val="00E27A70"/>
    <w:rsid w:val="00E34764"/>
    <w:rsid w:val="00E3508D"/>
    <w:rsid w:val="00E408A6"/>
    <w:rsid w:val="00E518C8"/>
    <w:rsid w:val="00E542CF"/>
    <w:rsid w:val="00E55704"/>
    <w:rsid w:val="00E60A47"/>
    <w:rsid w:val="00EA287E"/>
    <w:rsid w:val="00EC6536"/>
    <w:rsid w:val="00ED7EEA"/>
    <w:rsid w:val="00EE0517"/>
    <w:rsid w:val="00EE0AE1"/>
    <w:rsid w:val="00EE1421"/>
    <w:rsid w:val="00EE2F1C"/>
    <w:rsid w:val="00EE43F6"/>
    <w:rsid w:val="00F0728E"/>
    <w:rsid w:val="00F17B0A"/>
    <w:rsid w:val="00F26C25"/>
    <w:rsid w:val="00F341A5"/>
    <w:rsid w:val="00F43EA0"/>
    <w:rsid w:val="00F53384"/>
    <w:rsid w:val="00F54560"/>
    <w:rsid w:val="00F7100C"/>
    <w:rsid w:val="00F71262"/>
    <w:rsid w:val="00F810EB"/>
    <w:rsid w:val="00F822EE"/>
    <w:rsid w:val="00F8285B"/>
    <w:rsid w:val="00F8712B"/>
    <w:rsid w:val="00F92EE3"/>
    <w:rsid w:val="00FA743B"/>
    <w:rsid w:val="00FB1099"/>
    <w:rsid w:val="00FB26FB"/>
    <w:rsid w:val="00FB58E2"/>
    <w:rsid w:val="00FC33BD"/>
    <w:rsid w:val="00FC654A"/>
    <w:rsid w:val="00FD3553"/>
    <w:rsid w:val="00FE4ABA"/>
    <w:rsid w:val="00F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711D0A"/>
  <w15:docId w15:val="{8687A1D0-2E16-4317-AFC1-6698E9A0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536"/>
    <w:pPr>
      <w:widowControl w:val="0"/>
      <w:jc w:val="both"/>
    </w:pPr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locked/>
    <w:rsid w:val="00D059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D05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AA70CE"/>
    <w:pPr>
      <w:keepNext/>
      <w:widowControl/>
      <w:spacing w:before="240" w:after="60"/>
      <w:jc w:val="left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A27F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A27FE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A27FE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A27FE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A27FE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64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42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75E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5E76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75E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5E76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72F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79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9F8"/>
    <w:rPr>
      <w:rFonts w:eastAsia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D79F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E5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6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617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617"/>
    <w:rPr>
      <w:rFonts w:eastAsia="Times New Roman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locked/>
    <w:rsid w:val="00337844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A70CE"/>
    <w:rPr>
      <w:rFonts w:eastAsia="Times New Roman"/>
      <w:b/>
      <w:bCs/>
      <w:sz w:val="26"/>
      <w:szCs w:val="26"/>
      <w:lang w:val="en-GB" w:eastAsia="en-GB"/>
    </w:rPr>
  </w:style>
  <w:style w:type="paragraph" w:styleId="BodyText">
    <w:name w:val="Body Text"/>
    <w:basedOn w:val="Normal"/>
    <w:link w:val="BodyTextChar"/>
    <w:rsid w:val="00AA70CE"/>
    <w:pPr>
      <w:widowControl/>
      <w:jc w:val="left"/>
    </w:pPr>
    <w:rPr>
      <w:rFonts w:cs="Arial"/>
      <w:b/>
      <w:bCs/>
      <w:i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AA70CE"/>
    <w:rPr>
      <w:rFonts w:eastAsia="Times New Roman"/>
      <w:b/>
      <w:bCs/>
      <w:i/>
      <w:iCs/>
      <w:szCs w:val="20"/>
      <w:lang w:val="en-GB"/>
    </w:rPr>
  </w:style>
  <w:style w:type="character" w:styleId="Hyperlink">
    <w:name w:val="Hyperlink"/>
    <w:basedOn w:val="DefaultParagraphFont"/>
    <w:rsid w:val="00AA70CE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27FE0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A27FE0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A27FE0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27FE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27F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7FE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27FE0"/>
    <w:rPr>
      <w:rFonts w:eastAsia="Times New Roman" w:cs="Times New Roman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27F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27FE0"/>
    <w:rPr>
      <w:rFonts w:eastAsia="Times New Roman" w:cs="Times New Roman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D059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D059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ormalWeb">
    <w:name w:val="Normal (Web)"/>
    <w:basedOn w:val="Normal"/>
    <w:rsid w:val="00D0594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character" w:styleId="PageNumber">
    <w:name w:val="page number"/>
    <w:basedOn w:val="DefaultParagraphFont"/>
    <w:rsid w:val="00D0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BFAE8-4748-4AD1-BCF2-14B2000C9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BATH</vt:lpstr>
    </vt:vector>
  </TitlesOfParts>
  <Company>University of Bath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BATH</dc:title>
  <dc:creator>Colette Milner</dc:creator>
  <cp:lastModifiedBy>Colin Mather</cp:lastModifiedBy>
  <cp:revision>3</cp:revision>
  <cp:lastPrinted>2013-01-10T11:38:00Z</cp:lastPrinted>
  <dcterms:created xsi:type="dcterms:W3CDTF">2023-08-14T11:18:00Z</dcterms:created>
  <dcterms:modified xsi:type="dcterms:W3CDTF">2023-08-14T11:20:00Z</dcterms:modified>
</cp:coreProperties>
</file>